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02" w:rsidRPr="003418DB" w:rsidRDefault="00CD1050" w:rsidP="00CD1050">
      <w:pPr>
        <w:spacing w:after="0" w:line="240" w:lineRule="auto"/>
        <w:jc w:val="center"/>
        <w:rPr>
          <w:rFonts w:asciiTheme="minorHAnsi" w:hAnsiTheme="minorHAnsi" w:cstheme="minorHAnsi"/>
          <w:b/>
          <w:sz w:val="32"/>
        </w:rPr>
      </w:pPr>
      <w:r w:rsidRPr="003418DB">
        <w:rPr>
          <w:rFonts w:asciiTheme="minorHAnsi" w:hAnsiTheme="minorHAnsi" w:cstheme="minorHAnsi"/>
          <w:b/>
          <w:sz w:val="32"/>
        </w:rPr>
        <w:t xml:space="preserve">                  Dollar Industries</w:t>
      </w:r>
      <w:r w:rsidR="00233D02" w:rsidRPr="003418DB">
        <w:rPr>
          <w:rFonts w:asciiTheme="minorHAnsi" w:hAnsiTheme="minorHAnsi" w:cstheme="minorHAnsi"/>
          <w:b/>
          <w:sz w:val="32"/>
        </w:rPr>
        <w:t xml:space="preserve"> Limited</w:t>
      </w:r>
    </w:p>
    <w:tbl>
      <w:tblPr>
        <w:tblW w:w="11536" w:type="dxa"/>
        <w:tblInd w:w="108" w:type="dxa"/>
        <w:tblLook w:val="04A0"/>
      </w:tblPr>
      <w:tblGrid>
        <w:gridCol w:w="11536"/>
      </w:tblGrid>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b/>
                <w:bCs/>
                <w:lang w:val="en-IN" w:eastAsia="en-IN"/>
              </w:rPr>
            </w:pPr>
            <w:r w:rsidRPr="003418DB">
              <w:rPr>
                <w:rFonts w:asciiTheme="minorHAnsi" w:eastAsia="Times New Roman" w:hAnsiTheme="minorHAnsi" w:cstheme="minorHAnsi"/>
                <w:b/>
                <w:bCs/>
                <w:lang w:val="en-IN" w:eastAsia="en-IN"/>
              </w:rPr>
              <w:t>(CIN : L17299WB1993PLC058969)</w:t>
            </w:r>
          </w:p>
        </w:tc>
      </w:tr>
      <w:tr w:rsidR="00CD1050" w:rsidRPr="003418DB" w:rsidTr="00CD1050">
        <w:trPr>
          <w:trHeight w:val="300"/>
        </w:trPr>
        <w:tc>
          <w:tcPr>
            <w:tcW w:w="11536" w:type="dxa"/>
            <w:tcBorders>
              <w:top w:val="nil"/>
              <w:left w:val="nil"/>
              <w:bottom w:val="nil"/>
              <w:right w:val="nil"/>
            </w:tcBorders>
            <w:shd w:val="clear" w:color="auto" w:fill="auto"/>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Regd. Office:</w:t>
            </w:r>
            <w:r w:rsidRPr="003418DB">
              <w:rPr>
                <w:rFonts w:asciiTheme="minorHAnsi" w:eastAsia="Times New Roman" w:hAnsiTheme="minorHAnsi" w:cstheme="minorHAnsi"/>
                <w:lang w:val="en-IN" w:eastAsia="en-IN"/>
              </w:rPr>
              <w:t xml:space="preserve"> Om Tower, 15th Floor, 32, J L Nehru Road, Kolkata - 700071, West Bengal, India</w:t>
            </w:r>
          </w:p>
        </w:tc>
      </w:tr>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Phone No.:</w:t>
            </w:r>
            <w:r w:rsidRPr="003418DB">
              <w:rPr>
                <w:rFonts w:asciiTheme="minorHAnsi" w:eastAsia="Times New Roman" w:hAnsiTheme="minorHAnsi" w:cstheme="minorHAnsi"/>
                <w:lang w:val="en-IN" w:eastAsia="en-IN"/>
              </w:rPr>
              <w:t xml:space="preserve"> (033) 2288 4064-66, </w:t>
            </w:r>
            <w:r w:rsidRPr="003418DB">
              <w:rPr>
                <w:rFonts w:asciiTheme="minorHAnsi" w:eastAsia="Times New Roman" w:hAnsiTheme="minorHAnsi" w:cstheme="minorHAnsi"/>
                <w:b/>
                <w:bCs/>
                <w:lang w:val="en-IN" w:eastAsia="en-IN"/>
              </w:rPr>
              <w:t>Fax:</w:t>
            </w:r>
            <w:r w:rsidRPr="003418DB">
              <w:rPr>
                <w:rFonts w:asciiTheme="minorHAnsi" w:eastAsia="Times New Roman" w:hAnsiTheme="minorHAnsi" w:cstheme="minorHAnsi"/>
                <w:lang w:val="en-IN" w:eastAsia="en-IN"/>
              </w:rPr>
              <w:t xml:space="preserve"> (033) 2288 4063</w:t>
            </w:r>
          </w:p>
        </w:tc>
      </w:tr>
      <w:tr w:rsidR="00CD1050" w:rsidRPr="003418DB" w:rsidTr="00CD1050">
        <w:trPr>
          <w:trHeight w:val="300"/>
        </w:trPr>
        <w:tc>
          <w:tcPr>
            <w:tcW w:w="11536" w:type="dxa"/>
            <w:tcBorders>
              <w:top w:val="nil"/>
              <w:left w:val="nil"/>
              <w:bottom w:val="nil"/>
              <w:right w:val="nil"/>
            </w:tcBorders>
            <w:shd w:val="clear" w:color="auto" w:fill="auto"/>
            <w:noWrap/>
            <w:vAlign w:val="bottom"/>
            <w:hideMark/>
          </w:tcPr>
          <w:p w:rsidR="00CD1050" w:rsidRPr="003418DB" w:rsidRDefault="00CD1050" w:rsidP="00CD1050">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e-mail:</w:t>
            </w:r>
            <w:r w:rsidRPr="003418DB">
              <w:rPr>
                <w:rFonts w:asciiTheme="minorHAnsi" w:eastAsia="Times New Roman" w:hAnsiTheme="minorHAnsi" w:cstheme="minorHAnsi"/>
                <w:lang w:val="en-IN" w:eastAsia="en-IN"/>
              </w:rPr>
              <w:t xml:space="preserve"> care@dollarglobal.in, </w:t>
            </w:r>
            <w:r w:rsidRPr="003418DB">
              <w:rPr>
                <w:rFonts w:asciiTheme="minorHAnsi" w:eastAsia="Times New Roman" w:hAnsiTheme="minorHAnsi" w:cstheme="minorHAnsi"/>
                <w:b/>
                <w:bCs/>
                <w:lang w:val="en-IN" w:eastAsia="en-IN"/>
              </w:rPr>
              <w:t>Website:</w:t>
            </w:r>
            <w:r w:rsidRPr="003418DB">
              <w:rPr>
                <w:rFonts w:asciiTheme="minorHAnsi" w:eastAsia="Times New Roman" w:hAnsiTheme="minorHAnsi" w:cstheme="minorHAnsi"/>
                <w:lang w:val="en-IN" w:eastAsia="en-IN"/>
              </w:rPr>
              <w:t xml:space="preserve"> www.dollarglobal.in</w:t>
            </w:r>
          </w:p>
        </w:tc>
      </w:tr>
    </w:tbl>
    <w:p w:rsidR="00A733AB" w:rsidRPr="00D72A58" w:rsidRDefault="00D72A58" w:rsidP="00D72A58">
      <w:pPr>
        <w:spacing w:line="240" w:lineRule="auto"/>
        <w:rPr>
          <w:rStyle w:val="Strong"/>
          <w:rFonts w:asciiTheme="minorHAnsi" w:eastAsia="Times New Roman" w:hAnsiTheme="minorHAnsi" w:cstheme="minorHAnsi"/>
          <w:color w:val="000000" w:themeColor="text1"/>
          <w:sz w:val="20"/>
          <w:szCs w:val="20"/>
        </w:rPr>
      </w:pPr>
      <w:r w:rsidRPr="00D72A58">
        <w:rPr>
          <w:rStyle w:val="Strong"/>
          <w:rFonts w:asciiTheme="minorHAnsi" w:eastAsia="Times New Roman" w:hAnsiTheme="minorHAnsi" w:cstheme="minorHAnsi"/>
          <w:color w:val="000000" w:themeColor="text1"/>
          <w:sz w:val="20"/>
          <w:szCs w:val="20"/>
        </w:rPr>
        <w:t>Press Release</w:t>
      </w:r>
    </w:p>
    <w:p w:rsidR="00FB7E1D" w:rsidRPr="00FB7E1D" w:rsidRDefault="00FB7E1D" w:rsidP="00FB7E1D">
      <w:pPr>
        <w:jc w:val="center"/>
        <w:rPr>
          <w:rFonts w:asciiTheme="minorHAnsi" w:eastAsia="Times New Roman" w:hAnsiTheme="minorHAnsi" w:cstheme="minorHAnsi"/>
          <w:b/>
          <w:bCs/>
          <w:sz w:val="32"/>
          <w:szCs w:val="32"/>
        </w:rPr>
      </w:pPr>
      <w:r w:rsidRPr="00FB7E1D">
        <w:rPr>
          <w:rFonts w:asciiTheme="minorHAnsi" w:eastAsia="Times New Roman" w:hAnsiTheme="minorHAnsi" w:cstheme="minorHAnsi"/>
          <w:b/>
          <w:bCs/>
          <w:sz w:val="32"/>
          <w:szCs w:val="32"/>
        </w:rPr>
        <w:t>Dollar</w:t>
      </w:r>
      <w:r w:rsidR="009D7F36">
        <w:rPr>
          <w:rFonts w:asciiTheme="minorHAnsi" w:eastAsia="Times New Roman" w:hAnsiTheme="minorHAnsi" w:cstheme="minorHAnsi"/>
          <w:b/>
          <w:bCs/>
          <w:sz w:val="32"/>
          <w:szCs w:val="32"/>
        </w:rPr>
        <w:t xml:space="preserve"> Industries Limited announces Q2</w:t>
      </w:r>
      <w:r w:rsidRPr="00FB7E1D">
        <w:rPr>
          <w:rFonts w:asciiTheme="minorHAnsi" w:eastAsia="Times New Roman" w:hAnsiTheme="minorHAnsi" w:cstheme="minorHAnsi"/>
          <w:b/>
          <w:bCs/>
          <w:sz w:val="32"/>
          <w:szCs w:val="32"/>
        </w:rPr>
        <w:t xml:space="preserve"> FY21 results</w:t>
      </w:r>
    </w:p>
    <w:p w:rsidR="00233D02" w:rsidRPr="003418DB" w:rsidRDefault="00AE436A" w:rsidP="00CB6621">
      <w:pPr>
        <w:spacing w:after="0" w:line="240" w:lineRule="auto"/>
        <w:jc w:val="center"/>
        <w:rPr>
          <w:rFonts w:asciiTheme="minorHAnsi" w:eastAsia="Times New Roman" w:hAnsiTheme="minorHAnsi" w:cstheme="minorHAnsi"/>
          <w:i/>
          <w:sz w:val="28"/>
          <w:szCs w:val="24"/>
        </w:rPr>
      </w:pPr>
      <w:r w:rsidRPr="003418DB">
        <w:rPr>
          <w:rFonts w:asciiTheme="minorHAnsi" w:hAnsiTheme="minorHAnsi" w:cstheme="minorHAnsi"/>
          <w:b/>
          <w:i/>
          <w:sz w:val="28"/>
          <w:szCs w:val="24"/>
          <w:u w:val="single"/>
        </w:rPr>
        <w:t>Performance Review</w:t>
      </w:r>
    </w:p>
    <w:p w:rsidR="00233D02" w:rsidRPr="003418DB" w:rsidRDefault="00233D02" w:rsidP="00233D02">
      <w:pPr>
        <w:spacing w:after="0" w:line="240" w:lineRule="auto"/>
        <w:jc w:val="center"/>
        <w:rPr>
          <w:rFonts w:asciiTheme="minorHAnsi" w:hAnsiTheme="minorHAnsi" w:cstheme="minorHAnsi"/>
          <w:b/>
          <w:sz w:val="24"/>
          <w:szCs w:val="24"/>
        </w:rPr>
      </w:pPr>
    </w:p>
    <w:p w:rsidR="001B1ED9" w:rsidRPr="003418DB" w:rsidRDefault="001B1ED9" w:rsidP="001B1ED9">
      <w:pPr>
        <w:spacing w:after="0" w:line="240" w:lineRule="auto"/>
        <w:jc w:val="center"/>
        <w:rPr>
          <w:rFonts w:asciiTheme="minorHAnsi" w:hAnsiTheme="minorHAnsi" w:cstheme="minorHAnsi"/>
          <w:b/>
          <w:sz w:val="26"/>
          <w:szCs w:val="26"/>
          <w:u w:val="single"/>
        </w:rPr>
      </w:pPr>
    </w:p>
    <w:p w:rsidR="00233D02" w:rsidRPr="003418DB" w:rsidRDefault="00A733AB" w:rsidP="00233D02">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b/>
          <w:sz w:val="24"/>
          <w:szCs w:val="24"/>
        </w:rPr>
        <w:t>Kolkata</w:t>
      </w:r>
      <w:r w:rsidR="00233D02" w:rsidRPr="003418DB">
        <w:rPr>
          <w:rFonts w:asciiTheme="minorHAnsi" w:eastAsia="Times New Roman" w:hAnsiTheme="minorHAnsi" w:cstheme="minorHAnsi"/>
          <w:b/>
          <w:sz w:val="24"/>
          <w:szCs w:val="24"/>
        </w:rPr>
        <w:t xml:space="preserve">, </w:t>
      </w:r>
      <w:r w:rsidR="009D7F36">
        <w:rPr>
          <w:rFonts w:asciiTheme="minorHAnsi" w:eastAsia="Times New Roman" w:hAnsiTheme="minorHAnsi" w:cstheme="minorHAnsi"/>
          <w:b/>
          <w:sz w:val="24"/>
          <w:szCs w:val="24"/>
        </w:rPr>
        <w:t>8</w:t>
      </w:r>
      <w:r w:rsidR="00233D02" w:rsidRPr="003418DB">
        <w:rPr>
          <w:rFonts w:asciiTheme="minorHAnsi" w:eastAsia="Times New Roman" w:hAnsiTheme="minorHAnsi" w:cstheme="minorHAnsi"/>
          <w:b/>
          <w:sz w:val="24"/>
          <w:szCs w:val="24"/>
          <w:vertAlign w:val="superscript"/>
        </w:rPr>
        <w:t>th</w:t>
      </w:r>
      <w:r w:rsidR="009D7F36">
        <w:rPr>
          <w:rFonts w:asciiTheme="minorHAnsi" w:eastAsia="Times New Roman" w:hAnsiTheme="minorHAnsi" w:cstheme="minorHAnsi"/>
          <w:b/>
          <w:sz w:val="24"/>
          <w:szCs w:val="24"/>
        </w:rPr>
        <w:t xml:space="preserve"> November</w:t>
      </w:r>
      <w:r w:rsidR="00525A60" w:rsidRPr="003418DB">
        <w:rPr>
          <w:rFonts w:asciiTheme="minorHAnsi" w:eastAsia="Times New Roman" w:hAnsiTheme="minorHAnsi" w:cstheme="minorHAnsi"/>
          <w:b/>
          <w:sz w:val="24"/>
          <w:szCs w:val="24"/>
        </w:rPr>
        <w:t xml:space="preserve"> 2020</w:t>
      </w:r>
      <w:r w:rsidR="00233D02" w:rsidRPr="003418DB">
        <w:rPr>
          <w:rFonts w:asciiTheme="minorHAnsi" w:eastAsia="Times New Roman" w:hAnsiTheme="minorHAnsi" w:cstheme="minorHAnsi"/>
          <w:b/>
          <w:sz w:val="24"/>
          <w:szCs w:val="24"/>
        </w:rPr>
        <w:t xml:space="preserve">: </w:t>
      </w:r>
      <w:r w:rsidR="00742CB7" w:rsidRPr="003418DB">
        <w:rPr>
          <w:rFonts w:asciiTheme="minorHAnsi" w:eastAsia="Times New Roman" w:hAnsiTheme="minorHAnsi" w:cstheme="minorHAnsi"/>
          <w:sz w:val="24"/>
          <w:szCs w:val="24"/>
        </w:rPr>
        <w:t>Dollar Industries L</w:t>
      </w:r>
      <w:r w:rsidR="00B66D1B">
        <w:rPr>
          <w:rFonts w:asciiTheme="minorHAnsi" w:eastAsia="Times New Roman" w:hAnsiTheme="minorHAnsi" w:cstheme="minorHAnsi"/>
          <w:sz w:val="24"/>
          <w:szCs w:val="24"/>
        </w:rPr>
        <w:t>imited</w:t>
      </w:r>
      <w:r w:rsidRPr="003418DB">
        <w:rPr>
          <w:rFonts w:asciiTheme="minorHAnsi" w:eastAsia="Times New Roman" w:hAnsiTheme="minorHAnsi" w:cstheme="minorHAnsi"/>
          <w:sz w:val="24"/>
          <w:szCs w:val="24"/>
        </w:rPr>
        <w:t xml:space="preserve">, one of the leading </w:t>
      </w:r>
      <w:r w:rsidR="00742CB7" w:rsidRPr="003418DB">
        <w:rPr>
          <w:rFonts w:asciiTheme="minorHAnsi" w:eastAsia="Times New Roman" w:hAnsiTheme="minorHAnsi" w:cstheme="minorHAnsi"/>
          <w:sz w:val="24"/>
          <w:szCs w:val="24"/>
        </w:rPr>
        <w:t>Garment &amp; Hosiery Company</w:t>
      </w:r>
      <w:r w:rsidRPr="003418DB">
        <w:rPr>
          <w:rFonts w:asciiTheme="minorHAnsi" w:eastAsia="Times New Roman" w:hAnsiTheme="minorHAnsi" w:cstheme="minorHAnsi"/>
          <w:sz w:val="24"/>
          <w:szCs w:val="24"/>
        </w:rPr>
        <w:t xml:space="preserve"> in the country have announced its financial results for the q</w:t>
      </w:r>
      <w:r w:rsidR="007810BC" w:rsidRPr="003418DB">
        <w:rPr>
          <w:rFonts w:asciiTheme="minorHAnsi" w:eastAsia="Times New Roman" w:hAnsiTheme="minorHAnsi" w:cstheme="minorHAnsi"/>
          <w:sz w:val="24"/>
          <w:szCs w:val="24"/>
        </w:rPr>
        <w:t xml:space="preserve">uarter ended </w:t>
      </w:r>
      <w:r w:rsidR="00AB4F43">
        <w:rPr>
          <w:rFonts w:asciiTheme="minorHAnsi" w:eastAsia="Times New Roman" w:hAnsiTheme="minorHAnsi" w:cstheme="minorHAnsi"/>
          <w:sz w:val="24"/>
          <w:szCs w:val="24"/>
        </w:rPr>
        <w:t>September</w:t>
      </w:r>
      <w:r w:rsidR="007810BC" w:rsidRPr="003418DB">
        <w:rPr>
          <w:rFonts w:asciiTheme="minorHAnsi" w:eastAsia="Times New Roman" w:hAnsiTheme="minorHAnsi" w:cstheme="minorHAnsi"/>
          <w:sz w:val="24"/>
          <w:szCs w:val="24"/>
        </w:rPr>
        <w:t xml:space="preserve"> 30, 2020</w:t>
      </w:r>
      <w:r w:rsidRPr="003418DB">
        <w:rPr>
          <w:rFonts w:asciiTheme="minorHAnsi" w:eastAsia="Times New Roman" w:hAnsiTheme="minorHAnsi" w:cstheme="minorHAnsi"/>
          <w:sz w:val="24"/>
          <w:szCs w:val="24"/>
        </w:rPr>
        <w:t>.</w:t>
      </w: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506AC5" w:rsidP="00233D02">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noProof/>
          <w:sz w:val="24"/>
          <w:szCs w:val="24"/>
        </w:rPr>
        <w:pict>
          <v:roundrect id="AutoShape 9" o:spid="_x0000_s1026" style="position:absolute;left:0;text-align:left;margin-left:1679.8pt;margin-top:.6pt;width:462.75pt;height:276.75pt;z-index:251661312;visibility:visible;mso-position-horizontal:righ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" fillcolor="#d8d8d8" stroked="f">
            <v:textbox>
              <w:txbxContent>
                <w:p w:rsidR="002C27E3" w:rsidRPr="00595883" w:rsidRDefault="009D7F36" w:rsidP="008A7890">
                  <w:pPr>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Highlights for Q2 &amp; H1 </w:t>
                  </w:r>
                  <w:r w:rsidR="007810BC">
                    <w:rPr>
                      <w:rFonts w:ascii="Times New Roman" w:eastAsia="Times New Roman" w:hAnsi="Times New Roman"/>
                      <w:b/>
                      <w:color w:val="000000" w:themeColor="text1"/>
                      <w:sz w:val="24"/>
                      <w:szCs w:val="24"/>
                    </w:rPr>
                    <w:t>FY21</w:t>
                  </w:r>
                  <w:r w:rsidR="002C27E3" w:rsidRPr="00595883">
                    <w:rPr>
                      <w:rFonts w:ascii="Times New Roman" w:eastAsia="Times New Roman" w:hAnsi="Times New Roman"/>
                      <w:b/>
                      <w:color w:val="000000" w:themeColor="text1"/>
                      <w:sz w:val="24"/>
                      <w:szCs w:val="24"/>
                    </w:rPr>
                    <w:t xml:space="preserve"> Standalone Financials</w:t>
                  </w:r>
                </w:p>
                <w:p w:rsidR="002C27E3" w:rsidRPr="00595883" w:rsidRDefault="002C27E3" w:rsidP="008A7890">
                  <w:pPr>
                    <w:pStyle w:val="ListParagraph"/>
                    <w:spacing w:after="0" w:line="240" w:lineRule="auto"/>
                    <w:ind w:left="0"/>
                    <w:rPr>
                      <w:rFonts w:ascii="Times New Roman" w:eastAsia="Times New Roman" w:hAnsi="Times New Roman"/>
                      <w:color w:val="000000" w:themeColor="text1"/>
                      <w:sz w:val="8"/>
                      <w:szCs w:val="24"/>
                    </w:rPr>
                  </w:pPr>
                </w:p>
                <w:p w:rsidR="002C27E3" w:rsidRDefault="00CD1050" w:rsidP="008A7890">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Total Revenue </w:t>
                  </w:r>
                  <w:r w:rsidR="00245586">
                    <w:rPr>
                      <w:rFonts w:ascii="Times New Roman" w:eastAsia="Times New Roman" w:hAnsi="Times New Roman"/>
                      <w:color w:val="000000" w:themeColor="text1"/>
                      <w:sz w:val="24"/>
                      <w:szCs w:val="24"/>
                    </w:rPr>
                    <w:t xml:space="preserve">for </w:t>
                  </w:r>
                  <w:r w:rsidR="009D7F36">
                    <w:rPr>
                      <w:rFonts w:ascii="Times New Roman" w:eastAsia="Times New Roman" w:hAnsi="Times New Roman"/>
                      <w:b/>
                      <w:color w:val="000000" w:themeColor="text1"/>
                      <w:sz w:val="24"/>
                      <w:szCs w:val="24"/>
                    </w:rPr>
                    <w:t>Q2FY21 &amp; H1</w:t>
                  </w:r>
                  <w:r w:rsidR="00245586" w:rsidRPr="000638A3">
                    <w:rPr>
                      <w:rFonts w:ascii="Times New Roman" w:eastAsia="Times New Roman" w:hAnsi="Times New Roman"/>
                      <w:b/>
                      <w:color w:val="000000" w:themeColor="text1"/>
                      <w:sz w:val="24"/>
                      <w:szCs w:val="24"/>
                    </w:rPr>
                    <w:t>FY21</w:t>
                  </w:r>
                  <w:r w:rsidR="00245586">
                    <w:rPr>
                      <w:rFonts w:ascii="Times New Roman" w:eastAsia="Times New Roman" w:hAnsi="Times New Roman"/>
                      <w:color w:val="000000" w:themeColor="text1"/>
                      <w:sz w:val="24"/>
                      <w:szCs w:val="24"/>
                    </w:rPr>
                    <w:t xml:space="preserve"> stood at </w:t>
                  </w:r>
                  <w:r w:rsidR="009D7F36">
                    <w:rPr>
                      <w:rFonts w:ascii="Times New Roman" w:eastAsia="Times New Roman" w:hAnsi="Times New Roman"/>
                      <w:b/>
                      <w:color w:val="000000" w:themeColor="text1"/>
                      <w:sz w:val="24"/>
                      <w:szCs w:val="24"/>
                    </w:rPr>
                    <w:t xml:space="preserve">Rs.258.98 &amp; RS.419.16 </w:t>
                  </w:r>
                  <w:r w:rsidR="002C27E3" w:rsidRPr="00595883">
                    <w:rPr>
                      <w:rFonts w:ascii="Times New Roman" w:eastAsia="Times New Roman" w:hAnsi="Times New Roman"/>
                      <w:color w:val="000000" w:themeColor="text1"/>
                      <w:sz w:val="24"/>
                      <w:szCs w:val="24"/>
                    </w:rPr>
                    <w:t>crore</w:t>
                  </w:r>
                  <w:r w:rsidR="00245586">
                    <w:rPr>
                      <w:rFonts w:ascii="Times New Roman" w:eastAsia="Times New Roman" w:hAnsi="Times New Roman"/>
                      <w:color w:val="000000" w:themeColor="text1"/>
                      <w:sz w:val="24"/>
                      <w:szCs w:val="24"/>
                    </w:rPr>
                    <w:t xml:space="preserve"> as compared to </w:t>
                  </w:r>
                  <w:r w:rsidR="009D7F36">
                    <w:rPr>
                      <w:rFonts w:ascii="Times New Roman" w:eastAsia="Times New Roman" w:hAnsi="Times New Roman"/>
                      <w:b/>
                      <w:color w:val="000000" w:themeColor="text1"/>
                      <w:sz w:val="24"/>
                      <w:szCs w:val="24"/>
                    </w:rPr>
                    <w:t>Rs.243.76 &amp; Rs.477.71</w:t>
                  </w:r>
                  <w:r w:rsidR="00245586">
                    <w:rPr>
                      <w:rFonts w:ascii="Times New Roman" w:eastAsia="Times New Roman" w:hAnsi="Times New Roman"/>
                      <w:color w:val="000000" w:themeColor="text1"/>
                      <w:sz w:val="24"/>
                      <w:szCs w:val="24"/>
                    </w:rPr>
                    <w:t xml:space="preserve"> crores for </w:t>
                  </w:r>
                  <w:r w:rsidR="009D7F36">
                    <w:rPr>
                      <w:rFonts w:ascii="Times New Roman" w:eastAsia="Times New Roman" w:hAnsi="Times New Roman"/>
                      <w:b/>
                      <w:color w:val="000000" w:themeColor="text1"/>
                      <w:sz w:val="24"/>
                      <w:szCs w:val="24"/>
                    </w:rPr>
                    <w:t>Q2</w:t>
                  </w:r>
                  <w:r w:rsidR="00245586" w:rsidRPr="000638A3">
                    <w:rPr>
                      <w:rFonts w:ascii="Times New Roman" w:eastAsia="Times New Roman" w:hAnsi="Times New Roman"/>
                      <w:b/>
                      <w:color w:val="000000" w:themeColor="text1"/>
                      <w:sz w:val="24"/>
                      <w:szCs w:val="24"/>
                    </w:rPr>
                    <w:t>FY20</w:t>
                  </w:r>
                  <w:r w:rsidR="009D7F36" w:rsidRPr="009D7F36">
                    <w:rPr>
                      <w:rFonts w:ascii="Times New Roman" w:eastAsia="Times New Roman" w:hAnsi="Times New Roman"/>
                      <w:b/>
                      <w:color w:val="000000" w:themeColor="text1"/>
                      <w:sz w:val="24"/>
                      <w:szCs w:val="24"/>
                    </w:rPr>
                    <w:t>&amp; H1FY20</w:t>
                  </w:r>
                  <w:r w:rsidR="00245586">
                    <w:rPr>
                      <w:rFonts w:ascii="Times New Roman" w:eastAsia="Times New Roman" w:hAnsi="Times New Roman"/>
                      <w:color w:val="000000" w:themeColor="text1"/>
                      <w:sz w:val="24"/>
                      <w:szCs w:val="24"/>
                    </w:rPr>
                    <w:t xml:space="preserve">growth of </w:t>
                  </w:r>
                  <w:r w:rsidR="00312F24">
                    <w:rPr>
                      <w:rFonts w:ascii="Times New Roman" w:eastAsia="Times New Roman" w:hAnsi="Times New Roman"/>
                      <w:b/>
                      <w:color w:val="000000" w:themeColor="text1"/>
                      <w:sz w:val="24"/>
                      <w:szCs w:val="24"/>
                    </w:rPr>
                    <w:t>6.24% for Q2FY21 &amp;</w:t>
                  </w:r>
                  <w:r w:rsidR="00372B91">
                    <w:rPr>
                      <w:rFonts w:ascii="Times New Roman" w:eastAsia="Times New Roman" w:hAnsi="Times New Roman"/>
                      <w:b/>
                      <w:color w:val="000000" w:themeColor="text1"/>
                      <w:sz w:val="24"/>
                      <w:szCs w:val="24"/>
                    </w:rPr>
                    <w:t>de-growth of 12.26 % for H1FY21</w:t>
                  </w:r>
                  <w:r w:rsidR="00CD182C">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rPr>
                      <w:rFonts w:ascii="Times New Roman" w:eastAsia="Times New Roman" w:hAnsi="Times New Roman"/>
                      <w:color w:val="000000" w:themeColor="text1"/>
                      <w:sz w:val="24"/>
                      <w:szCs w:val="24"/>
                    </w:rPr>
                  </w:pPr>
                </w:p>
                <w:p w:rsidR="00CD182C" w:rsidRDefault="0005284E" w:rsidP="00CD182C">
                  <w:pPr>
                    <w:pStyle w:val="ListParagraph"/>
                    <w:numPr>
                      <w:ilvl w:val="0"/>
                      <w:numId w:val="1"/>
                    </w:numPr>
                    <w:spacing w:after="0" w:line="240" w:lineRule="auto"/>
                    <w:ind w:left="360"/>
                    <w:rPr>
                      <w:rFonts w:ascii="Times New Roman" w:eastAsia="Times New Roman" w:hAnsi="Times New Roman"/>
                      <w:color w:val="000000" w:themeColor="text1"/>
                      <w:sz w:val="24"/>
                      <w:szCs w:val="24"/>
                    </w:rPr>
                  </w:pPr>
                  <w:r w:rsidRPr="00CD182C">
                    <w:rPr>
                      <w:rFonts w:ascii="Times New Roman" w:eastAsia="Times New Roman" w:hAnsi="Times New Roman"/>
                      <w:color w:val="000000" w:themeColor="text1"/>
                      <w:sz w:val="24"/>
                      <w:szCs w:val="24"/>
                    </w:rPr>
                    <w:t xml:space="preserve">Operating Revenue </w:t>
                  </w:r>
                  <w:r w:rsidR="00245586" w:rsidRPr="00CD182C">
                    <w:rPr>
                      <w:rFonts w:ascii="Times New Roman" w:eastAsia="Times New Roman" w:hAnsi="Times New Roman"/>
                      <w:color w:val="000000" w:themeColor="text1"/>
                      <w:sz w:val="24"/>
                      <w:szCs w:val="24"/>
                    </w:rPr>
                    <w:t xml:space="preserve">for </w:t>
                  </w:r>
                  <w:r w:rsidR="00372B91" w:rsidRPr="00CD182C">
                    <w:rPr>
                      <w:rFonts w:ascii="Times New Roman" w:eastAsia="Times New Roman" w:hAnsi="Times New Roman"/>
                      <w:b/>
                      <w:color w:val="000000" w:themeColor="text1"/>
                      <w:sz w:val="24"/>
                      <w:szCs w:val="24"/>
                    </w:rPr>
                    <w:t>Q2FY21 &amp; H1FY21</w:t>
                  </w:r>
                  <w:r w:rsidR="00245586" w:rsidRPr="00CD182C">
                    <w:rPr>
                      <w:rFonts w:ascii="Times New Roman" w:eastAsia="Times New Roman" w:hAnsi="Times New Roman"/>
                      <w:color w:val="000000" w:themeColor="text1"/>
                      <w:sz w:val="24"/>
                      <w:szCs w:val="24"/>
                    </w:rPr>
                    <w:t xml:space="preserve"> stood at </w:t>
                  </w:r>
                  <w:r w:rsidR="00372B91" w:rsidRPr="00CD182C">
                    <w:rPr>
                      <w:rFonts w:ascii="Times New Roman" w:eastAsia="Times New Roman" w:hAnsi="Times New Roman"/>
                      <w:b/>
                      <w:color w:val="000000" w:themeColor="text1"/>
                      <w:sz w:val="24"/>
                      <w:szCs w:val="24"/>
                    </w:rPr>
                    <w:t>Rs.258</w:t>
                  </w:r>
                  <w:r w:rsidR="00CD182C">
                    <w:rPr>
                      <w:rFonts w:ascii="Times New Roman" w:eastAsia="Times New Roman" w:hAnsi="Times New Roman"/>
                      <w:b/>
                      <w:color w:val="000000" w:themeColor="text1"/>
                      <w:sz w:val="24"/>
                      <w:szCs w:val="24"/>
                    </w:rPr>
                    <w:t>.45</w:t>
                  </w:r>
                  <w:r w:rsidR="00372B91" w:rsidRPr="00CD182C">
                    <w:rPr>
                      <w:rFonts w:ascii="Times New Roman" w:eastAsia="Times New Roman" w:hAnsi="Times New Roman"/>
                      <w:b/>
                      <w:color w:val="000000" w:themeColor="text1"/>
                      <w:sz w:val="24"/>
                      <w:szCs w:val="24"/>
                    </w:rPr>
                    <w:t xml:space="preserve">&amp; RS.418.45 </w:t>
                  </w:r>
                  <w:r w:rsidR="00245586" w:rsidRPr="00CD182C">
                    <w:rPr>
                      <w:rFonts w:ascii="Times New Roman" w:eastAsia="Times New Roman" w:hAnsi="Times New Roman"/>
                      <w:color w:val="000000" w:themeColor="text1"/>
                      <w:sz w:val="24"/>
                      <w:szCs w:val="24"/>
                    </w:rPr>
                    <w:t xml:space="preserve">crore as compared to </w:t>
                  </w:r>
                  <w:r w:rsidR="00CD182C" w:rsidRPr="00CD182C">
                    <w:rPr>
                      <w:rFonts w:ascii="Times New Roman" w:eastAsia="Times New Roman" w:hAnsi="Times New Roman"/>
                      <w:b/>
                      <w:color w:val="000000" w:themeColor="text1"/>
                      <w:sz w:val="24"/>
                      <w:szCs w:val="24"/>
                    </w:rPr>
                    <w:t xml:space="preserve">Rs.243.25&amp; Rs.476.85 </w:t>
                  </w:r>
                  <w:r w:rsidR="00245586" w:rsidRPr="00CD182C">
                    <w:rPr>
                      <w:rFonts w:ascii="Times New Roman" w:eastAsia="Times New Roman" w:hAnsi="Times New Roman"/>
                      <w:color w:val="000000" w:themeColor="text1"/>
                      <w:sz w:val="24"/>
                      <w:szCs w:val="24"/>
                    </w:rPr>
                    <w:t xml:space="preserve">crores for </w:t>
                  </w:r>
                  <w:r w:rsidR="00CD182C" w:rsidRPr="00CD182C">
                    <w:rPr>
                      <w:rFonts w:ascii="Times New Roman" w:eastAsia="Times New Roman" w:hAnsi="Times New Roman"/>
                      <w:b/>
                      <w:color w:val="000000" w:themeColor="text1"/>
                      <w:sz w:val="24"/>
                      <w:szCs w:val="24"/>
                    </w:rPr>
                    <w:t>Q2FY20&amp; H1FY20</w:t>
                  </w:r>
                  <w:r w:rsidR="00245586" w:rsidRPr="00CD182C">
                    <w:rPr>
                      <w:rFonts w:ascii="Times New Roman" w:eastAsia="Times New Roman" w:hAnsi="Times New Roman"/>
                      <w:color w:val="000000" w:themeColor="text1"/>
                      <w:sz w:val="24"/>
                      <w:szCs w:val="24"/>
                    </w:rPr>
                    <w:t xml:space="preserve">, </w:t>
                  </w:r>
                  <w:r w:rsidR="00CD182C">
                    <w:rPr>
                      <w:rFonts w:ascii="Times New Roman" w:eastAsia="Times New Roman" w:hAnsi="Times New Roman"/>
                      <w:color w:val="000000" w:themeColor="text1"/>
                      <w:sz w:val="24"/>
                      <w:szCs w:val="24"/>
                    </w:rPr>
                    <w:t xml:space="preserve">growth of </w:t>
                  </w:r>
                  <w:r w:rsidR="00CD182C">
                    <w:rPr>
                      <w:rFonts w:ascii="Times New Roman" w:eastAsia="Times New Roman" w:hAnsi="Times New Roman"/>
                      <w:b/>
                      <w:color w:val="000000" w:themeColor="text1"/>
                      <w:sz w:val="24"/>
                      <w:szCs w:val="24"/>
                    </w:rPr>
                    <w:t>6.25% for Q2FY21 &amp; de-growth of 12.25 % for H1FY21.</w:t>
                  </w:r>
                </w:p>
                <w:p w:rsidR="00245586" w:rsidRPr="00CD182C" w:rsidRDefault="00245586" w:rsidP="00A04838">
                  <w:pPr>
                    <w:pStyle w:val="ListParagraph"/>
                    <w:spacing w:after="0" w:line="240" w:lineRule="auto"/>
                    <w:ind w:left="360"/>
                    <w:rPr>
                      <w:rFonts w:ascii="Times New Roman" w:eastAsia="Times New Roman" w:hAnsi="Times New Roman"/>
                      <w:color w:val="000000" w:themeColor="text1"/>
                      <w:sz w:val="24"/>
                      <w:szCs w:val="24"/>
                    </w:rPr>
                  </w:pPr>
                </w:p>
                <w:p w:rsidR="002C27E3" w:rsidRDefault="00CD1050" w:rsidP="008A7890">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EBITDA</w:t>
                  </w:r>
                  <w:r w:rsidR="00245586">
                    <w:rPr>
                      <w:rFonts w:ascii="Times New Roman" w:eastAsia="Times New Roman" w:hAnsi="Times New Roman"/>
                      <w:color w:val="000000" w:themeColor="text1"/>
                      <w:sz w:val="24"/>
                      <w:szCs w:val="24"/>
                    </w:rPr>
                    <w:t xml:space="preserve">for </w:t>
                  </w:r>
                  <w:r w:rsidR="00CD182C" w:rsidRPr="00CD182C">
                    <w:rPr>
                      <w:rFonts w:ascii="Times New Roman" w:eastAsia="Times New Roman" w:hAnsi="Times New Roman"/>
                      <w:b/>
                      <w:color w:val="000000" w:themeColor="text1"/>
                      <w:sz w:val="24"/>
                      <w:szCs w:val="24"/>
                    </w:rPr>
                    <w:t>Q2FY21 &amp; H1FY21</w:t>
                  </w:r>
                  <w:r w:rsidR="00245586">
                    <w:rPr>
                      <w:rFonts w:ascii="Times New Roman" w:eastAsia="Times New Roman" w:hAnsi="Times New Roman"/>
                      <w:color w:val="000000" w:themeColor="text1"/>
                      <w:sz w:val="24"/>
                      <w:szCs w:val="24"/>
                    </w:rPr>
                    <w:t xml:space="preserve"> stood at </w:t>
                  </w:r>
                  <w:r w:rsidR="00245586" w:rsidRPr="000638A3">
                    <w:rPr>
                      <w:rFonts w:ascii="Times New Roman" w:eastAsia="Times New Roman" w:hAnsi="Times New Roman"/>
                      <w:b/>
                      <w:color w:val="000000" w:themeColor="text1"/>
                      <w:sz w:val="24"/>
                      <w:szCs w:val="24"/>
                    </w:rPr>
                    <w:t>Rs.</w:t>
                  </w:r>
                  <w:r w:rsidR="00CD182C">
                    <w:rPr>
                      <w:rFonts w:ascii="Times New Roman" w:eastAsia="Times New Roman" w:hAnsi="Times New Roman"/>
                      <w:b/>
                      <w:color w:val="000000" w:themeColor="text1"/>
                      <w:sz w:val="24"/>
                      <w:szCs w:val="24"/>
                    </w:rPr>
                    <w:t>35.67</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b/>
                      <w:color w:val="000000" w:themeColor="text1"/>
                      <w:sz w:val="24"/>
                      <w:szCs w:val="24"/>
                    </w:rPr>
                    <w:t xml:space="preserve"> i.e. 13.77%</w:t>
                  </w:r>
                  <w:r w:rsidR="00CD182C">
                    <w:rPr>
                      <w:rFonts w:ascii="Times New Roman" w:eastAsia="Times New Roman" w:hAnsi="Times New Roman"/>
                      <w:b/>
                      <w:color w:val="000000" w:themeColor="text1"/>
                      <w:sz w:val="24"/>
                      <w:szCs w:val="24"/>
                    </w:rPr>
                    <w:t>&amp; Rs.64.50</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i.e. 15.39% </w:t>
                  </w:r>
                  <w:r w:rsidR="00245586">
                    <w:rPr>
                      <w:rFonts w:ascii="Times New Roman" w:eastAsia="Times New Roman" w:hAnsi="Times New Roman"/>
                      <w:color w:val="000000" w:themeColor="text1"/>
                      <w:sz w:val="24"/>
                      <w:szCs w:val="24"/>
                    </w:rPr>
                    <w:t>as compared</w:t>
                  </w:r>
                  <w:r w:rsidR="00504F6B">
                    <w:rPr>
                      <w:rFonts w:ascii="Times New Roman" w:eastAsia="Times New Roman" w:hAnsi="Times New Roman"/>
                      <w:color w:val="000000" w:themeColor="text1"/>
                      <w:sz w:val="24"/>
                      <w:szCs w:val="24"/>
                    </w:rPr>
                    <w:t xml:space="preserve"> to </w:t>
                  </w:r>
                  <w:r w:rsidR="00CD182C">
                    <w:rPr>
                      <w:rFonts w:ascii="Times New Roman" w:eastAsia="Times New Roman" w:hAnsi="Times New Roman"/>
                      <w:b/>
                      <w:color w:val="000000" w:themeColor="text1"/>
                      <w:sz w:val="24"/>
                      <w:szCs w:val="24"/>
                    </w:rPr>
                    <w:t>Rs.23.82</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 i.e. 9.77%</w:t>
                  </w:r>
                  <w:r w:rsidR="00CD182C" w:rsidRPr="00CD182C">
                    <w:rPr>
                      <w:rFonts w:ascii="Times New Roman" w:eastAsia="Times New Roman" w:hAnsi="Times New Roman"/>
                      <w:b/>
                      <w:color w:val="000000" w:themeColor="text1"/>
                      <w:sz w:val="24"/>
                      <w:szCs w:val="24"/>
                    </w:rPr>
                    <w:t>&amp; Rs.51.13</w:t>
                  </w:r>
                  <w:r w:rsidR="00504F6B">
                    <w:rPr>
                      <w:rFonts w:ascii="Times New Roman" w:eastAsia="Times New Roman" w:hAnsi="Times New Roman"/>
                      <w:color w:val="000000" w:themeColor="text1"/>
                      <w:sz w:val="24"/>
                      <w:szCs w:val="24"/>
                    </w:rPr>
                    <w:t>crores</w:t>
                  </w:r>
                  <w:r w:rsidR="000E00D8">
                    <w:rPr>
                      <w:rFonts w:ascii="Times New Roman" w:eastAsia="Times New Roman" w:hAnsi="Times New Roman"/>
                      <w:color w:val="000000" w:themeColor="text1"/>
                      <w:sz w:val="24"/>
                      <w:szCs w:val="24"/>
                    </w:rPr>
                    <w:t xml:space="preserve">i.e. 10.70% </w:t>
                  </w:r>
                  <w:r w:rsidR="00504F6B">
                    <w:rPr>
                      <w:rFonts w:ascii="Times New Roman" w:eastAsia="Times New Roman" w:hAnsi="Times New Roman"/>
                      <w:color w:val="000000" w:themeColor="text1"/>
                      <w:sz w:val="24"/>
                      <w:szCs w:val="24"/>
                    </w:rPr>
                    <w:t xml:space="preserve">for </w:t>
                  </w:r>
                  <w:r w:rsidR="00CD182C" w:rsidRPr="00CD182C">
                    <w:rPr>
                      <w:rFonts w:ascii="Times New Roman" w:eastAsia="Times New Roman" w:hAnsi="Times New Roman"/>
                      <w:b/>
                      <w:color w:val="000000" w:themeColor="text1"/>
                      <w:sz w:val="24"/>
                      <w:szCs w:val="24"/>
                    </w:rPr>
                    <w:t>Q2FY20&amp; H1FY20</w:t>
                  </w:r>
                  <w:r w:rsidR="00504F6B">
                    <w:rPr>
                      <w:rFonts w:ascii="Times New Roman" w:eastAsia="Times New Roman" w:hAnsi="Times New Roman"/>
                      <w:color w:val="000000" w:themeColor="text1"/>
                      <w:sz w:val="24"/>
                      <w:szCs w:val="24"/>
                    </w:rPr>
                    <w:t xml:space="preserve">, growth of </w:t>
                  </w:r>
                  <w:r w:rsidR="009F4C8D">
                    <w:rPr>
                      <w:rFonts w:ascii="Times New Roman" w:eastAsia="Times New Roman" w:hAnsi="Times New Roman"/>
                      <w:b/>
                      <w:color w:val="000000" w:themeColor="text1"/>
                      <w:sz w:val="24"/>
                      <w:szCs w:val="24"/>
                    </w:rPr>
                    <w:t>49.75</w:t>
                  </w:r>
                  <w:r w:rsidR="00245586" w:rsidRPr="000638A3">
                    <w:rPr>
                      <w:rFonts w:ascii="Times New Roman" w:eastAsia="Times New Roman" w:hAnsi="Times New Roman"/>
                      <w:b/>
                      <w:color w:val="000000" w:themeColor="text1"/>
                      <w:sz w:val="24"/>
                      <w:szCs w:val="24"/>
                    </w:rPr>
                    <w:t>%</w:t>
                  </w:r>
                  <w:r w:rsidR="009F4C8D">
                    <w:rPr>
                      <w:rFonts w:ascii="Times New Roman" w:eastAsia="Times New Roman" w:hAnsi="Times New Roman"/>
                      <w:b/>
                      <w:color w:val="000000" w:themeColor="text1"/>
                      <w:sz w:val="24"/>
                      <w:szCs w:val="24"/>
                    </w:rPr>
                    <w:t xml:space="preserve">&amp; 26.15% for Q2FY21 </w:t>
                  </w:r>
                  <w:r w:rsidR="009F4C8D" w:rsidRPr="00CD182C">
                    <w:rPr>
                      <w:rFonts w:ascii="Times New Roman" w:eastAsia="Times New Roman" w:hAnsi="Times New Roman"/>
                      <w:b/>
                      <w:color w:val="000000" w:themeColor="text1"/>
                      <w:sz w:val="24"/>
                      <w:szCs w:val="24"/>
                    </w:rPr>
                    <w:t>&amp; H1FY21</w:t>
                  </w:r>
                  <w:r w:rsidR="009F4C8D">
                    <w:rPr>
                      <w:rFonts w:ascii="Times New Roman" w:eastAsia="Times New Roman" w:hAnsi="Times New Roman"/>
                      <w:b/>
                      <w:color w:val="000000" w:themeColor="text1"/>
                      <w:sz w:val="24"/>
                      <w:szCs w:val="24"/>
                    </w:rPr>
                    <w:t>.</w:t>
                  </w:r>
                </w:p>
                <w:p w:rsidR="00245586" w:rsidRPr="00595883" w:rsidRDefault="00245586" w:rsidP="00245586">
                  <w:pPr>
                    <w:pStyle w:val="ListParagraph"/>
                    <w:spacing w:after="0" w:line="240" w:lineRule="auto"/>
                    <w:ind w:left="360"/>
                    <w:jc w:val="both"/>
                    <w:rPr>
                      <w:rFonts w:ascii="Times New Roman" w:eastAsia="Times New Roman" w:hAnsi="Times New Roman"/>
                      <w:color w:val="000000" w:themeColor="text1"/>
                      <w:sz w:val="24"/>
                      <w:szCs w:val="24"/>
                    </w:rPr>
                  </w:pPr>
                </w:p>
                <w:p w:rsidR="00504F6B" w:rsidRDefault="00504F6B" w:rsidP="00504F6B">
                  <w:pPr>
                    <w:pStyle w:val="ListParagraph"/>
                    <w:numPr>
                      <w:ilvl w:val="0"/>
                      <w:numId w:val="1"/>
                    </w:num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PATfor </w:t>
                  </w:r>
                  <w:r w:rsidR="00A04838" w:rsidRPr="00CD182C">
                    <w:rPr>
                      <w:rFonts w:ascii="Times New Roman" w:eastAsia="Times New Roman" w:hAnsi="Times New Roman"/>
                      <w:b/>
                      <w:color w:val="000000" w:themeColor="text1"/>
                      <w:sz w:val="24"/>
                      <w:szCs w:val="24"/>
                    </w:rPr>
                    <w:t>Q2FY21 &amp; H1FY21</w:t>
                  </w:r>
                  <w:r>
                    <w:rPr>
                      <w:rFonts w:ascii="Times New Roman" w:eastAsia="Times New Roman" w:hAnsi="Times New Roman"/>
                      <w:color w:val="000000" w:themeColor="text1"/>
                      <w:sz w:val="24"/>
                      <w:szCs w:val="24"/>
                    </w:rPr>
                    <w:t xml:space="preserve"> stood at </w:t>
                  </w:r>
                  <w:r w:rsidR="00A04838">
                    <w:rPr>
                      <w:rFonts w:ascii="Times New Roman" w:eastAsia="Times New Roman" w:hAnsi="Times New Roman"/>
                      <w:b/>
                      <w:color w:val="000000" w:themeColor="text1"/>
                      <w:sz w:val="24"/>
                      <w:szCs w:val="24"/>
                    </w:rPr>
                    <w:t>Rs.22.37</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 i.e. 9%</w:t>
                  </w:r>
                  <w:r w:rsidR="00A04838">
                    <w:rPr>
                      <w:rFonts w:ascii="Times New Roman" w:eastAsia="Times New Roman" w:hAnsi="Times New Roman"/>
                      <w:b/>
                      <w:color w:val="000000" w:themeColor="text1"/>
                      <w:sz w:val="24"/>
                      <w:szCs w:val="24"/>
                    </w:rPr>
                    <w:t>&amp; Rs.38.80</w:t>
                  </w:r>
                  <w:r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i.e. 9% </w:t>
                  </w:r>
                  <w:r>
                    <w:rPr>
                      <w:rFonts w:ascii="Times New Roman" w:eastAsia="Times New Roman" w:hAnsi="Times New Roman"/>
                      <w:color w:val="000000" w:themeColor="text1"/>
                      <w:sz w:val="24"/>
                      <w:szCs w:val="24"/>
                    </w:rPr>
                    <w:t xml:space="preserve">as compared to </w:t>
                  </w:r>
                  <w:r w:rsidRPr="000638A3">
                    <w:rPr>
                      <w:rFonts w:ascii="Times New Roman" w:eastAsia="Times New Roman" w:hAnsi="Times New Roman"/>
                      <w:b/>
                      <w:color w:val="000000" w:themeColor="text1"/>
                      <w:sz w:val="24"/>
                      <w:szCs w:val="24"/>
                    </w:rPr>
                    <w:t>Rs.1</w:t>
                  </w:r>
                  <w:r w:rsidR="00A04838">
                    <w:rPr>
                      <w:rFonts w:ascii="Times New Roman" w:eastAsia="Times New Roman" w:hAnsi="Times New Roman"/>
                      <w:b/>
                      <w:color w:val="000000" w:themeColor="text1"/>
                      <w:sz w:val="24"/>
                      <w:szCs w:val="24"/>
                    </w:rPr>
                    <w:t>3.66</w:t>
                  </w:r>
                  <w:r w:rsidR="000E00D8" w:rsidRPr="00595883">
                    <w:rPr>
                      <w:rFonts w:ascii="Times New Roman" w:eastAsia="Times New Roman" w:hAnsi="Times New Roman"/>
                      <w:color w:val="000000" w:themeColor="text1"/>
                      <w:sz w:val="24"/>
                      <w:szCs w:val="24"/>
                    </w:rPr>
                    <w:t>crore</w:t>
                  </w:r>
                  <w:r w:rsidR="000E00D8">
                    <w:rPr>
                      <w:rFonts w:ascii="Times New Roman" w:eastAsia="Times New Roman" w:hAnsi="Times New Roman"/>
                      <w:color w:val="000000" w:themeColor="text1"/>
                      <w:sz w:val="24"/>
                      <w:szCs w:val="24"/>
                    </w:rPr>
                    <w:t xml:space="preserve">i.e. 6% </w:t>
                  </w:r>
                  <w:r w:rsidR="00A04838">
                    <w:rPr>
                      <w:rFonts w:ascii="Times New Roman" w:eastAsia="Times New Roman" w:hAnsi="Times New Roman"/>
                      <w:b/>
                      <w:color w:val="000000" w:themeColor="text1"/>
                      <w:sz w:val="24"/>
                      <w:szCs w:val="24"/>
                    </w:rPr>
                    <w:t xml:space="preserve">&amp; Rs.26.56 </w:t>
                  </w:r>
                  <w:r>
                    <w:rPr>
                      <w:rFonts w:ascii="Times New Roman" w:eastAsia="Times New Roman" w:hAnsi="Times New Roman"/>
                      <w:color w:val="000000" w:themeColor="text1"/>
                      <w:sz w:val="24"/>
                      <w:szCs w:val="24"/>
                    </w:rPr>
                    <w:t>crores</w:t>
                  </w:r>
                  <w:r w:rsidR="000E00D8">
                    <w:rPr>
                      <w:rFonts w:ascii="Times New Roman" w:eastAsia="Times New Roman" w:hAnsi="Times New Roman"/>
                      <w:color w:val="000000" w:themeColor="text1"/>
                      <w:sz w:val="24"/>
                      <w:szCs w:val="24"/>
                    </w:rPr>
                    <w:t xml:space="preserve">i.e. 6% </w:t>
                  </w:r>
                  <w:r>
                    <w:rPr>
                      <w:rFonts w:ascii="Times New Roman" w:eastAsia="Times New Roman" w:hAnsi="Times New Roman"/>
                      <w:color w:val="000000" w:themeColor="text1"/>
                      <w:sz w:val="24"/>
                      <w:szCs w:val="24"/>
                    </w:rPr>
                    <w:t xml:space="preserve">for </w:t>
                  </w:r>
                  <w:r w:rsidR="00A04838" w:rsidRPr="00CD182C">
                    <w:rPr>
                      <w:rFonts w:ascii="Times New Roman" w:eastAsia="Times New Roman" w:hAnsi="Times New Roman"/>
                      <w:b/>
                      <w:color w:val="000000" w:themeColor="text1"/>
                      <w:sz w:val="24"/>
                      <w:szCs w:val="24"/>
                    </w:rPr>
                    <w:t>Q2FY20 H1FY20</w:t>
                  </w:r>
                  <w:r>
                    <w:rPr>
                      <w:rFonts w:ascii="Times New Roman" w:eastAsia="Times New Roman" w:hAnsi="Times New Roman"/>
                      <w:color w:val="000000" w:themeColor="text1"/>
                      <w:sz w:val="24"/>
                      <w:szCs w:val="24"/>
                    </w:rPr>
                    <w:t xml:space="preserve">, growth of </w:t>
                  </w:r>
                  <w:r w:rsidR="00A04838">
                    <w:rPr>
                      <w:rFonts w:ascii="Times New Roman" w:eastAsia="Times New Roman" w:hAnsi="Times New Roman"/>
                      <w:b/>
                      <w:color w:val="000000" w:themeColor="text1"/>
                      <w:sz w:val="24"/>
                      <w:szCs w:val="24"/>
                    </w:rPr>
                    <w:t>63.</w:t>
                  </w:r>
                  <w:r w:rsidR="00B66D1B">
                    <w:rPr>
                      <w:rFonts w:ascii="Times New Roman" w:eastAsia="Times New Roman" w:hAnsi="Times New Roman"/>
                      <w:b/>
                      <w:color w:val="000000" w:themeColor="text1"/>
                      <w:sz w:val="24"/>
                      <w:szCs w:val="24"/>
                    </w:rPr>
                    <w:t>7</w:t>
                  </w:r>
                  <w:r w:rsidR="00A04838">
                    <w:rPr>
                      <w:rFonts w:ascii="Times New Roman" w:eastAsia="Times New Roman" w:hAnsi="Times New Roman"/>
                      <w:b/>
                      <w:color w:val="000000" w:themeColor="text1"/>
                      <w:sz w:val="24"/>
                      <w:szCs w:val="24"/>
                    </w:rPr>
                    <w:t>6</w:t>
                  </w:r>
                  <w:r w:rsidRPr="000638A3">
                    <w:rPr>
                      <w:rFonts w:ascii="Times New Roman" w:eastAsia="Times New Roman" w:hAnsi="Times New Roman"/>
                      <w:b/>
                      <w:color w:val="000000" w:themeColor="text1"/>
                      <w:sz w:val="24"/>
                      <w:szCs w:val="24"/>
                    </w:rPr>
                    <w:t>%.</w:t>
                  </w:r>
                  <w:r w:rsidR="00A04838">
                    <w:rPr>
                      <w:rFonts w:ascii="Times New Roman" w:eastAsia="Times New Roman" w:hAnsi="Times New Roman"/>
                      <w:b/>
                      <w:color w:val="000000" w:themeColor="text1"/>
                      <w:sz w:val="24"/>
                      <w:szCs w:val="24"/>
                    </w:rPr>
                    <w:t xml:space="preserve">&amp; 46.08%for Q2FY21 </w:t>
                  </w:r>
                  <w:r w:rsidR="00A04838" w:rsidRPr="00CD182C">
                    <w:rPr>
                      <w:rFonts w:ascii="Times New Roman" w:eastAsia="Times New Roman" w:hAnsi="Times New Roman"/>
                      <w:b/>
                      <w:color w:val="000000" w:themeColor="text1"/>
                      <w:sz w:val="24"/>
                      <w:szCs w:val="24"/>
                    </w:rPr>
                    <w:t>&amp; H1FY21</w:t>
                  </w:r>
                  <w:r w:rsidR="00A04838">
                    <w:rPr>
                      <w:rFonts w:ascii="Times New Roman" w:eastAsia="Times New Roman" w:hAnsi="Times New Roman"/>
                      <w:b/>
                      <w:color w:val="000000" w:themeColor="text1"/>
                      <w:sz w:val="24"/>
                      <w:szCs w:val="24"/>
                    </w:rPr>
                    <w:t>.</w:t>
                  </w:r>
                </w:p>
                <w:p w:rsidR="002C27E3" w:rsidRPr="00CD1050" w:rsidRDefault="002C27E3" w:rsidP="001D6C7A">
                  <w:pPr>
                    <w:pStyle w:val="ListParagraph"/>
                    <w:spacing w:after="0" w:line="240" w:lineRule="auto"/>
                    <w:ind w:left="360"/>
                    <w:rPr>
                      <w:rFonts w:ascii="Times New Roman" w:eastAsia="Times New Roman" w:hAnsi="Times New Roman"/>
                      <w:color w:val="000000" w:themeColor="text1"/>
                      <w:sz w:val="24"/>
                      <w:szCs w:val="24"/>
                    </w:rPr>
                  </w:pPr>
                </w:p>
              </w:txbxContent>
            </v:textbox>
            <w10:wrap anchorx="margin"/>
          </v:roundrect>
        </w:pict>
      </w: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8A7890" w:rsidRPr="003418DB" w:rsidRDefault="008A7890"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Pr="003418DB" w:rsidRDefault="00245586" w:rsidP="00233D02">
      <w:pPr>
        <w:spacing w:after="0" w:line="240" w:lineRule="auto"/>
        <w:jc w:val="both"/>
        <w:rPr>
          <w:rFonts w:asciiTheme="minorHAnsi" w:eastAsia="Times New Roman" w:hAnsiTheme="minorHAnsi" w:cstheme="minorHAnsi"/>
          <w:sz w:val="24"/>
          <w:szCs w:val="24"/>
        </w:rPr>
      </w:pPr>
    </w:p>
    <w:p w:rsidR="00245586" w:rsidRDefault="00245586" w:rsidP="00233D02">
      <w:pPr>
        <w:spacing w:after="0" w:line="240" w:lineRule="auto"/>
        <w:jc w:val="both"/>
        <w:rPr>
          <w:rFonts w:asciiTheme="minorHAnsi" w:eastAsia="Times New Roman" w:hAnsiTheme="minorHAnsi" w:cstheme="minorHAnsi"/>
          <w:sz w:val="24"/>
          <w:szCs w:val="24"/>
        </w:rPr>
      </w:pPr>
    </w:p>
    <w:p w:rsidR="00A04838" w:rsidRDefault="00A04838" w:rsidP="00233D02">
      <w:pPr>
        <w:spacing w:after="0" w:line="240" w:lineRule="auto"/>
        <w:jc w:val="both"/>
        <w:rPr>
          <w:rFonts w:asciiTheme="minorHAnsi" w:eastAsia="Times New Roman" w:hAnsiTheme="minorHAnsi" w:cstheme="minorHAnsi"/>
          <w:sz w:val="24"/>
          <w:szCs w:val="24"/>
        </w:rPr>
      </w:pPr>
    </w:p>
    <w:p w:rsidR="00A04838" w:rsidRPr="003418DB" w:rsidRDefault="00A04838" w:rsidP="00233D02">
      <w:pPr>
        <w:spacing w:after="0" w:line="240" w:lineRule="auto"/>
        <w:jc w:val="both"/>
        <w:rPr>
          <w:rFonts w:asciiTheme="minorHAnsi" w:eastAsia="Times New Roman" w:hAnsiTheme="minorHAnsi" w:cstheme="minorHAnsi"/>
          <w:sz w:val="24"/>
          <w:szCs w:val="24"/>
        </w:rPr>
      </w:pPr>
    </w:p>
    <w:p w:rsidR="00233D02" w:rsidRPr="003418DB" w:rsidRDefault="00233D02" w:rsidP="0005284E">
      <w:pPr>
        <w:spacing w:after="0" w:line="240" w:lineRule="auto"/>
        <w:jc w:val="both"/>
        <w:rPr>
          <w:rFonts w:asciiTheme="minorHAnsi" w:eastAsia="Times New Roman" w:hAnsiTheme="minorHAnsi" w:cstheme="minorHAnsi"/>
          <w:sz w:val="24"/>
          <w:szCs w:val="24"/>
        </w:rPr>
      </w:pPr>
      <w:r w:rsidRPr="003418DB">
        <w:rPr>
          <w:rFonts w:asciiTheme="minorHAnsi" w:eastAsia="Times New Roman" w:hAnsiTheme="minorHAnsi" w:cstheme="minorHAnsi"/>
          <w:sz w:val="24"/>
          <w:szCs w:val="24"/>
        </w:rPr>
        <w:t xml:space="preserve">Commenting on the results, </w:t>
      </w:r>
      <w:r w:rsidR="00742CB7" w:rsidRPr="003418DB">
        <w:rPr>
          <w:rFonts w:asciiTheme="minorHAnsi" w:eastAsia="Times New Roman" w:hAnsiTheme="minorHAnsi" w:cstheme="minorHAnsi"/>
          <w:b/>
          <w:sz w:val="24"/>
          <w:szCs w:val="24"/>
        </w:rPr>
        <w:t>Mr. Vinod Kumar Gupta, Managing</w:t>
      </w:r>
      <w:r w:rsidR="00BA7F78" w:rsidRPr="003418DB">
        <w:rPr>
          <w:rFonts w:asciiTheme="minorHAnsi" w:eastAsia="Times New Roman" w:hAnsiTheme="minorHAnsi" w:cstheme="minorHAnsi"/>
          <w:b/>
          <w:sz w:val="24"/>
          <w:szCs w:val="24"/>
        </w:rPr>
        <w:t xml:space="preserve"> Director, </w:t>
      </w:r>
      <w:r w:rsidR="00742CB7" w:rsidRPr="003418DB">
        <w:rPr>
          <w:rFonts w:asciiTheme="minorHAnsi" w:eastAsia="Times New Roman" w:hAnsiTheme="minorHAnsi" w:cstheme="minorHAnsi"/>
          <w:b/>
          <w:sz w:val="24"/>
          <w:szCs w:val="24"/>
        </w:rPr>
        <w:t>Dollar Industries</w:t>
      </w:r>
      <w:r w:rsidRPr="003418DB">
        <w:rPr>
          <w:rFonts w:asciiTheme="minorHAnsi" w:eastAsia="Times New Roman" w:hAnsiTheme="minorHAnsi" w:cstheme="minorHAnsi"/>
          <w:b/>
          <w:sz w:val="24"/>
          <w:szCs w:val="24"/>
        </w:rPr>
        <w:t xml:space="preserve"> Limited</w:t>
      </w:r>
      <w:r w:rsidR="00114E36" w:rsidRPr="003418DB">
        <w:rPr>
          <w:rFonts w:asciiTheme="minorHAnsi" w:eastAsia="Times New Roman" w:hAnsiTheme="minorHAnsi" w:cstheme="minorHAnsi"/>
          <w:sz w:val="24"/>
          <w:szCs w:val="24"/>
        </w:rPr>
        <w:t xml:space="preserve"> said, </w:t>
      </w:r>
    </w:p>
    <w:p w:rsidR="008A7890" w:rsidRDefault="008A7890" w:rsidP="008A7890">
      <w:pPr>
        <w:spacing w:after="0" w:line="240" w:lineRule="auto"/>
        <w:jc w:val="both"/>
        <w:rPr>
          <w:rFonts w:asciiTheme="minorHAnsi" w:hAnsiTheme="minorHAnsi" w:cstheme="minorHAnsi"/>
          <w:i/>
          <w:sz w:val="12"/>
          <w:szCs w:val="24"/>
        </w:rPr>
      </w:pPr>
    </w:p>
    <w:p w:rsidR="00055F34" w:rsidRPr="003418DB" w:rsidRDefault="00055F34" w:rsidP="008A7890">
      <w:pPr>
        <w:spacing w:after="0" w:line="240" w:lineRule="auto"/>
        <w:jc w:val="both"/>
        <w:rPr>
          <w:rFonts w:asciiTheme="minorHAnsi" w:hAnsiTheme="minorHAnsi" w:cstheme="minorHAnsi"/>
          <w:i/>
          <w:sz w:val="12"/>
          <w:szCs w:val="24"/>
        </w:rPr>
      </w:pPr>
    </w:p>
    <w:p w:rsidR="000E00D8" w:rsidRDefault="00055F34" w:rsidP="00055F34">
      <w:pPr>
        <w:spacing w:line="240" w:lineRule="auto"/>
        <w:jc w:val="both"/>
        <w:rPr>
          <w:rFonts w:asciiTheme="minorHAnsi" w:hAnsiTheme="minorHAnsi" w:cstheme="minorHAnsi"/>
        </w:rPr>
      </w:pPr>
      <w:r>
        <w:rPr>
          <w:rFonts w:asciiTheme="minorHAnsi" w:hAnsiTheme="minorHAnsi" w:cstheme="minorHAnsi"/>
        </w:rPr>
        <w:t>The Company has started normalcy operations both in production and</w:t>
      </w:r>
      <w:r w:rsidR="005E17FF">
        <w:rPr>
          <w:rFonts w:asciiTheme="minorHAnsi" w:hAnsiTheme="minorHAnsi" w:cstheme="minorHAnsi"/>
        </w:rPr>
        <w:t xml:space="preserve"> supply chain. The Company exper</w:t>
      </w:r>
      <w:r>
        <w:rPr>
          <w:rFonts w:asciiTheme="minorHAnsi" w:hAnsiTheme="minorHAnsi" w:cstheme="minorHAnsi"/>
        </w:rPr>
        <w:t xml:space="preserve">ts </w:t>
      </w:r>
      <w:r w:rsidR="000E00D8">
        <w:rPr>
          <w:rFonts w:asciiTheme="minorHAnsi" w:hAnsiTheme="minorHAnsi" w:cstheme="minorHAnsi"/>
        </w:rPr>
        <w:t>has been working on ways to improve its revenue and curb its expenses which has us to achieve the growth in the second quarter both in revenue and profit. We will continue with our endeavor to increase both our top and bottom line.</w:t>
      </w:r>
    </w:p>
    <w:p w:rsidR="00114E36" w:rsidRPr="003418DB" w:rsidRDefault="00055F34" w:rsidP="00055F34">
      <w:pPr>
        <w:spacing w:line="240" w:lineRule="auto"/>
        <w:jc w:val="both"/>
        <w:rPr>
          <w:rFonts w:asciiTheme="minorHAnsi" w:hAnsiTheme="minorHAnsi" w:cstheme="minorHAnsi"/>
        </w:rPr>
      </w:pPr>
      <w:r>
        <w:rPr>
          <w:rFonts w:asciiTheme="minorHAnsi" w:hAnsiTheme="minorHAnsi" w:cstheme="minorHAnsi"/>
        </w:rPr>
        <w:t xml:space="preserve">Today’s scenario calls for clean and green working environment and be a responsible Corporate. The Company has been working reducing its carbon footprint. In continuation with this efforts the Company has </w:t>
      </w:r>
      <w:r>
        <w:rPr>
          <w:rFonts w:asciiTheme="minorHAnsi" w:hAnsiTheme="minorHAnsi" w:cstheme="minorHAnsi"/>
        </w:rPr>
        <w:lastRenderedPageBreak/>
        <w:t>installed a 4 MW solar plant in Tirupur which will not only help to reduce cost but also help curbing CO2 emmission by 9000 Kgs / day with a sustainable environment.</w:t>
      </w:r>
    </w:p>
    <w:p w:rsidR="00114E36" w:rsidRPr="003418DB" w:rsidRDefault="00114E36" w:rsidP="008A7890">
      <w:pPr>
        <w:spacing w:line="240" w:lineRule="auto"/>
        <w:jc w:val="both"/>
        <w:rPr>
          <w:rFonts w:asciiTheme="minorHAnsi" w:hAnsiTheme="minorHAnsi" w:cstheme="minorHAnsi"/>
          <w:sz w:val="24"/>
          <w:szCs w:val="24"/>
        </w:rPr>
      </w:pPr>
    </w:p>
    <w:p w:rsidR="006E6C51" w:rsidRPr="003418DB" w:rsidRDefault="006E6C51" w:rsidP="008A7890">
      <w:pPr>
        <w:spacing w:line="240" w:lineRule="auto"/>
        <w:jc w:val="both"/>
        <w:rPr>
          <w:rFonts w:asciiTheme="minorHAnsi" w:hAnsiTheme="minorHAnsi" w:cstheme="minorHAnsi"/>
          <w:sz w:val="24"/>
          <w:szCs w:val="24"/>
        </w:rPr>
      </w:pPr>
    </w:p>
    <w:p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u w:val="single"/>
        </w:rPr>
        <w:t>About Dollar Industries Limited</w:t>
      </w:r>
      <w:r w:rsidRPr="003418DB">
        <w:rPr>
          <w:rFonts w:asciiTheme="minorHAnsi" w:hAnsiTheme="minorHAnsi" w:cstheme="minorHAnsi"/>
          <w:b/>
          <w:sz w:val="24"/>
          <w:szCs w:val="24"/>
        </w:rPr>
        <w:t xml:space="preserve"> (</w:t>
      </w:r>
      <w:hyperlink r:id="rId8" w:history="1">
        <w:r w:rsidRPr="003418DB">
          <w:rPr>
            <w:rStyle w:val="Hyperlink"/>
            <w:rFonts w:asciiTheme="minorHAnsi" w:hAnsiTheme="minorHAnsi" w:cstheme="minorHAnsi"/>
          </w:rPr>
          <w:t>https://www.dollarglobal.in/</w:t>
        </w:r>
      </w:hyperlink>
      <w:r w:rsidRPr="003418DB">
        <w:rPr>
          <w:rFonts w:asciiTheme="minorHAnsi" w:hAnsiTheme="minorHAnsi" w:cstheme="minorHAnsi"/>
          <w:b/>
          <w:sz w:val="24"/>
          <w:szCs w:val="24"/>
        </w:rPr>
        <w:t>; BSE: Scrip Code 541403; NSE Scrip Code: DOLLAR)</w:t>
      </w:r>
    </w:p>
    <w:p w:rsidR="003418DB" w:rsidRPr="003418DB" w:rsidRDefault="003418DB" w:rsidP="003418DB">
      <w:pPr>
        <w:spacing w:after="0" w:line="240" w:lineRule="auto"/>
        <w:rPr>
          <w:rFonts w:asciiTheme="minorHAnsi" w:hAnsiTheme="minorHAnsi" w:cstheme="minorHAnsi"/>
          <w:b/>
          <w:sz w:val="24"/>
          <w:szCs w:val="24"/>
        </w:rPr>
      </w:pPr>
    </w:p>
    <w:p w:rsidR="003418DB" w:rsidRPr="003418DB" w:rsidRDefault="003418DB" w:rsidP="003F5740">
      <w:pPr>
        <w:spacing w:after="0" w:line="240" w:lineRule="auto"/>
        <w:jc w:val="both"/>
        <w:rPr>
          <w:rFonts w:asciiTheme="minorHAnsi" w:hAnsiTheme="minorHAnsi" w:cstheme="minorHAnsi"/>
          <w:sz w:val="24"/>
          <w:szCs w:val="24"/>
        </w:rPr>
      </w:pPr>
      <w:r w:rsidRPr="003418DB">
        <w:rPr>
          <w:rFonts w:asciiTheme="minorHAnsi" w:hAnsiTheme="minorHAnsi" w:cstheme="minorHAnsi"/>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qualityand productivity. The styles introduced by Dollar have always stayed in tune with the latest fashion.</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Identical with top quality and value for money products, brand Dollar enjoys the trust of millions satisfied consumers across globe leaving far reaching footprints in global market.</w:t>
      </w:r>
    </w:p>
    <w:p w:rsidR="003418DB" w:rsidRPr="003418DB" w:rsidRDefault="003418DB" w:rsidP="003418DB">
      <w:pPr>
        <w:shd w:val="clear" w:color="auto" w:fill="FFFFFF"/>
        <w:spacing w:after="0"/>
        <w:jc w:val="both"/>
        <w:rPr>
          <w:rFonts w:asciiTheme="minorHAnsi" w:hAnsiTheme="minorHAnsi" w:cstheme="minorHAnsi"/>
          <w:b/>
          <w:bCs/>
          <w:sz w:val="24"/>
          <w:szCs w:val="24"/>
        </w:rPr>
      </w:pPr>
      <w:r w:rsidRPr="003418DB">
        <w:rPr>
          <w:rFonts w:asciiTheme="minorHAnsi" w:hAnsiTheme="minorHAnsi" w:cstheme="minorHAnsi"/>
          <w:b/>
          <w:bCs/>
          <w:sz w:val="24"/>
          <w:szCs w:val="24"/>
        </w:rPr>
        <w:t xml:space="preserve">The company has a substantial pan-India presence and has established its market abroad, in countries like UAE, Oman, Jordan, Qatar, Kuwait, Bahrain, Yemen, Iraq, Nepal, and Sudan in past few years. The Company has also </w:t>
      </w:r>
      <w:r w:rsidR="00B66D1B">
        <w:rPr>
          <w:rFonts w:asciiTheme="minorHAnsi" w:hAnsiTheme="minorHAnsi" w:cstheme="minorHAnsi"/>
          <w:b/>
          <w:bCs/>
          <w:sz w:val="24"/>
          <w:szCs w:val="24"/>
        </w:rPr>
        <w:t>been listed in NSE &amp; BSE few years ago</w:t>
      </w:r>
      <w:r w:rsidRPr="003418DB">
        <w:rPr>
          <w:rFonts w:asciiTheme="minorHAnsi" w:hAnsiTheme="minorHAnsi" w:cstheme="minorHAnsi"/>
          <w:b/>
          <w:bCs/>
          <w:sz w:val="24"/>
          <w:szCs w:val="24"/>
        </w:rPr>
        <w:t>.</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hd w:val="clear" w:color="auto" w:fill="FFFFFF"/>
        <w:spacing w:after="0"/>
        <w:jc w:val="both"/>
        <w:rPr>
          <w:rFonts w:asciiTheme="minorHAnsi" w:hAnsiTheme="minorHAnsi" w:cstheme="minorHAnsi"/>
          <w:sz w:val="24"/>
          <w:szCs w:val="24"/>
        </w:rPr>
      </w:pPr>
      <w:r w:rsidRPr="003418DB">
        <w:rPr>
          <w:rFonts w:asciiTheme="minorHAnsi" w:hAnsiTheme="minorHAnsi" w:cstheme="minorHAnsi"/>
          <w:sz w:val="24"/>
          <w:szCs w:val="24"/>
        </w:rPr>
        <w:t>Dollar Industries</w:t>
      </w:r>
      <w:r w:rsidR="00B66D1B">
        <w:rPr>
          <w:rFonts w:asciiTheme="minorHAnsi" w:hAnsiTheme="minorHAnsi" w:cstheme="minorHAnsi"/>
          <w:sz w:val="24"/>
          <w:szCs w:val="24"/>
        </w:rPr>
        <w:t xml:space="preserve"> Limited</w:t>
      </w:r>
      <w:r w:rsidRPr="003418DB">
        <w:rPr>
          <w:rFonts w:asciiTheme="minorHAnsi" w:hAnsiTheme="minorHAnsi" w:cstheme="minorHAnsi"/>
          <w:sz w:val="24"/>
          <w:szCs w:val="24"/>
        </w:rPr>
        <w:t xml:space="preserve">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color.</w:t>
      </w:r>
    </w:p>
    <w:p w:rsidR="003418DB" w:rsidRPr="003418DB" w:rsidRDefault="003418DB" w:rsidP="003418DB">
      <w:pPr>
        <w:shd w:val="clear" w:color="auto" w:fill="FFFFFF"/>
        <w:spacing w:after="0"/>
        <w:jc w:val="both"/>
        <w:rPr>
          <w:rFonts w:asciiTheme="minorHAnsi" w:hAnsiTheme="minorHAnsi" w:cstheme="minorHAnsi"/>
          <w:sz w:val="24"/>
          <w:szCs w:val="24"/>
        </w:rPr>
      </w:pPr>
    </w:p>
    <w:p w:rsidR="003418DB" w:rsidRPr="003418DB" w:rsidRDefault="003418DB" w:rsidP="003418DB">
      <w:pPr>
        <w:spacing w:after="0" w:line="240" w:lineRule="auto"/>
        <w:jc w:val="both"/>
        <w:rPr>
          <w:rFonts w:asciiTheme="minorHAnsi" w:hAnsiTheme="minorHAnsi" w:cstheme="minorHAnsi"/>
          <w:sz w:val="24"/>
          <w:szCs w:val="24"/>
        </w:rPr>
      </w:pPr>
    </w:p>
    <w:p w:rsidR="003418DB" w:rsidRPr="003418DB" w:rsidRDefault="003418DB" w:rsidP="003418DB">
      <w:pPr>
        <w:spacing w:after="0" w:line="240" w:lineRule="auto"/>
        <w:rPr>
          <w:rFonts w:asciiTheme="minorHAnsi" w:hAnsiTheme="minorHAnsi" w:cstheme="minorHAnsi"/>
          <w:b/>
          <w:sz w:val="24"/>
          <w:szCs w:val="24"/>
        </w:rPr>
      </w:pPr>
      <w:r w:rsidRPr="003418DB">
        <w:rPr>
          <w:rFonts w:asciiTheme="minorHAnsi" w:hAnsiTheme="minorHAnsi" w:cstheme="minorHAnsi"/>
          <w:b/>
          <w:sz w:val="24"/>
          <w:szCs w:val="24"/>
        </w:rPr>
        <w:t xml:space="preserve">For more information contact: </w:t>
      </w:r>
    </w:p>
    <w:p w:rsidR="003418DB" w:rsidRPr="003418DB" w:rsidRDefault="003418DB" w:rsidP="003418DB">
      <w:pPr>
        <w:spacing w:after="0" w:line="240" w:lineRule="auto"/>
        <w:rPr>
          <w:rFonts w:asciiTheme="minorHAnsi" w:hAnsiTheme="minorHAnsi" w:cstheme="minorHAnsi"/>
          <w:sz w:val="24"/>
          <w:szCs w:val="24"/>
        </w:rPr>
      </w:pPr>
      <w:r w:rsidRPr="003418DB">
        <w:rPr>
          <w:rFonts w:asciiTheme="minorHAnsi" w:hAnsiTheme="minorHAnsi" w:cstheme="minorHAnsi"/>
          <w:noProof/>
          <w:sz w:val="24"/>
          <w:szCs w:val="24"/>
        </w:rPr>
        <w:drawing>
          <wp:anchor distT="0" distB="0" distL="114300" distR="114300" simplePos="0" relativeHeight="251663360" behindDoc="0" locked="0" layoutInCell="1" allowOverlap="1">
            <wp:simplePos x="0" y="0"/>
            <wp:positionH relativeFrom="column">
              <wp:posOffset>1</wp:posOffset>
            </wp:positionH>
            <wp:positionV relativeFrom="paragraph">
              <wp:posOffset>52705</wp:posOffset>
            </wp:positionV>
            <wp:extent cx="6057900" cy="1905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57900" cy="19050"/>
                    </a:xfrm>
                    <a:prstGeom prst="rect">
                      <a:avLst/>
                    </a:prstGeom>
                    <a:ln/>
                  </pic:spPr>
                </pic:pic>
              </a:graphicData>
            </a:graphic>
          </wp:anchor>
        </w:drawing>
      </w:r>
    </w:p>
    <w:tbl>
      <w:tblPr>
        <w:tblW w:w="9360" w:type="dxa"/>
        <w:tblBorders>
          <w:top w:val="nil"/>
          <w:left w:val="nil"/>
          <w:bottom w:val="nil"/>
          <w:right w:val="nil"/>
          <w:insideH w:val="nil"/>
          <w:insideV w:val="nil"/>
        </w:tblBorders>
        <w:tblLayout w:type="fixed"/>
        <w:tblLook w:val="0400"/>
      </w:tblPr>
      <w:tblGrid>
        <w:gridCol w:w="5119"/>
        <w:gridCol w:w="4241"/>
      </w:tblGrid>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p>
        </w:tc>
        <w:tc>
          <w:tcPr>
            <w:tcW w:w="4241" w:type="dxa"/>
          </w:tcPr>
          <w:p w:rsidR="00FB7E1D" w:rsidRPr="003418DB" w:rsidRDefault="00FB7E1D" w:rsidP="00FB7E1D">
            <w:pPr>
              <w:tabs>
                <w:tab w:val="left" w:pos="7815"/>
              </w:tabs>
              <w:spacing w:after="0"/>
              <w:rPr>
                <w:rFonts w:asciiTheme="minorHAnsi" w:hAnsiTheme="minorHAnsi" w:cstheme="minorHAnsi"/>
                <w:szCs w:val="24"/>
              </w:rPr>
            </w:pPr>
          </w:p>
        </w:tc>
      </w:tr>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Sreeraj Mitra / PriyadarshiniBhan / SayanjitaDey</w:t>
            </w:r>
          </w:p>
        </w:tc>
        <w:tc>
          <w:tcPr>
            <w:tcW w:w="4241" w:type="dxa"/>
          </w:tcPr>
          <w:p w:rsidR="00FB7E1D" w:rsidRPr="003418DB" w:rsidRDefault="00FB7E1D" w:rsidP="00FB7E1D">
            <w:pPr>
              <w:spacing w:after="0"/>
              <w:rPr>
                <w:rFonts w:asciiTheme="minorHAnsi" w:hAnsiTheme="minorHAnsi" w:cstheme="minorHAnsi"/>
                <w:b/>
                <w:szCs w:val="24"/>
              </w:rPr>
            </w:pPr>
          </w:p>
        </w:tc>
      </w:tr>
      <w:tr w:rsidR="00FB7E1D" w:rsidRPr="003418DB" w:rsidTr="00373969">
        <w:tc>
          <w:tcPr>
            <w:tcW w:w="5119" w:type="dxa"/>
          </w:tcPr>
          <w:p w:rsidR="00FB7E1D" w:rsidRPr="003418DB" w:rsidRDefault="00FB7E1D" w:rsidP="00FB7E1D">
            <w:pPr>
              <w:tabs>
                <w:tab w:val="left" w:pos="7815"/>
              </w:tabs>
              <w:spacing w:after="0"/>
              <w:rPr>
                <w:rFonts w:asciiTheme="minorHAnsi" w:hAnsiTheme="minorHAnsi" w:cstheme="minorHAnsi"/>
                <w:szCs w:val="24"/>
              </w:rPr>
            </w:pPr>
            <w:r w:rsidRPr="00E23D33">
              <w:rPr>
                <w:rFonts w:ascii="Franklin Gothic Demi" w:hAnsi="Franklin Gothic Demi"/>
                <w:sz w:val="20"/>
                <w:szCs w:val="20"/>
              </w:rPr>
              <w:t>Sagittarius Communications</w:t>
            </w:r>
          </w:p>
        </w:tc>
        <w:tc>
          <w:tcPr>
            <w:tcW w:w="4241" w:type="dxa"/>
          </w:tcPr>
          <w:p w:rsidR="00FB7E1D" w:rsidRPr="003418DB" w:rsidRDefault="00FB7E1D" w:rsidP="00FB7E1D">
            <w:pPr>
              <w:tabs>
                <w:tab w:val="left" w:pos="7815"/>
              </w:tabs>
              <w:spacing w:after="0"/>
              <w:rPr>
                <w:rFonts w:asciiTheme="minorHAnsi" w:hAnsiTheme="minorHAnsi" w:cstheme="minorHAnsi"/>
                <w:szCs w:val="24"/>
              </w:rPr>
            </w:pPr>
          </w:p>
        </w:tc>
      </w:tr>
      <w:tr w:rsidR="00FB7E1D" w:rsidRPr="003418DB" w:rsidTr="00373969">
        <w:tc>
          <w:tcPr>
            <w:tcW w:w="5119" w:type="dxa"/>
          </w:tcPr>
          <w:p w:rsidR="00FB7E1D" w:rsidRDefault="00FB7E1D" w:rsidP="00FB7E1D">
            <w:pPr>
              <w:tabs>
                <w:tab w:val="left" w:pos="7815"/>
              </w:tabs>
              <w:spacing w:after="0"/>
              <w:rPr>
                <w:rFonts w:ascii="Franklin Gothic Demi" w:hAnsi="Franklin Gothic Demi"/>
                <w:sz w:val="20"/>
                <w:szCs w:val="20"/>
              </w:rPr>
            </w:pPr>
            <w:r w:rsidRPr="00E23D33">
              <w:rPr>
                <w:rFonts w:ascii="Franklin Gothic Demi" w:hAnsi="Franklin Gothic Demi"/>
                <w:sz w:val="20"/>
                <w:szCs w:val="20"/>
              </w:rPr>
              <w:t>Ph: 9007307884 / 8697719337 / 8697719315</w:t>
            </w:r>
          </w:p>
          <w:p w:rsidR="00FB7E1D" w:rsidRPr="003418DB" w:rsidRDefault="00FB7E1D" w:rsidP="00FB7E1D">
            <w:pPr>
              <w:tabs>
                <w:tab w:val="left" w:pos="7815"/>
              </w:tabs>
              <w:spacing w:after="0"/>
              <w:rPr>
                <w:rFonts w:asciiTheme="minorHAnsi" w:hAnsiTheme="minorHAnsi" w:cstheme="minorHAnsi"/>
                <w:szCs w:val="24"/>
              </w:rPr>
            </w:pPr>
          </w:p>
        </w:tc>
        <w:tc>
          <w:tcPr>
            <w:tcW w:w="4241" w:type="dxa"/>
          </w:tcPr>
          <w:p w:rsidR="00FB7E1D" w:rsidRPr="003418DB" w:rsidRDefault="00FB7E1D" w:rsidP="00FB7E1D">
            <w:pPr>
              <w:pBdr>
                <w:top w:val="nil"/>
                <w:left w:val="nil"/>
                <w:bottom w:val="nil"/>
                <w:right w:val="nil"/>
                <w:between w:val="nil"/>
              </w:pBdr>
              <w:spacing w:after="0"/>
              <w:rPr>
                <w:rFonts w:asciiTheme="minorHAnsi" w:hAnsiTheme="minorHAnsi" w:cstheme="minorHAnsi"/>
                <w:szCs w:val="24"/>
              </w:rPr>
            </w:pPr>
          </w:p>
        </w:tc>
      </w:tr>
    </w:tbl>
    <w:p w:rsidR="003418DB" w:rsidRPr="003418DB" w:rsidRDefault="003418DB" w:rsidP="003418DB">
      <w:pPr>
        <w:autoSpaceDE w:val="0"/>
        <w:autoSpaceDN w:val="0"/>
        <w:adjustRightInd w:val="0"/>
        <w:spacing w:after="0" w:line="240" w:lineRule="auto"/>
        <w:rPr>
          <w:rFonts w:asciiTheme="minorHAnsi" w:hAnsiTheme="minorHAnsi" w:cstheme="minorHAnsi"/>
          <w:b/>
          <w:bCs/>
          <w:color w:val="000000"/>
        </w:rPr>
      </w:pPr>
      <w:r w:rsidRPr="003418DB">
        <w:rPr>
          <w:rFonts w:asciiTheme="minorHAnsi" w:hAnsiTheme="minorHAnsi" w:cstheme="minorHAnsi"/>
          <w:b/>
          <w:bCs/>
          <w:color w:val="000000"/>
        </w:rPr>
        <w:t>DISCLAIMER:</w:t>
      </w:r>
    </w:p>
    <w:p w:rsidR="003418DB" w:rsidRPr="003418DB" w:rsidRDefault="003418DB" w:rsidP="003418DB">
      <w:pPr>
        <w:autoSpaceDE w:val="0"/>
        <w:autoSpaceDN w:val="0"/>
        <w:adjustRightInd w:val="0"/>
        <w:spacing w:after="0" w:line="240" w:lineRule="auto"/>
        <w:rPr>
          <w:rFonts w:asciiTheme="minorHAnsi" w:hAnsiTheme="minorHAnsi" w:cstheme="minorHAnsi"/>
          <w:b/>
          <w:bCs/>
          <w:color w:val="000000"/>
          <w:sz w:val="16"/>
          <w:szCs w:val="16"/>
        </w:rPr>
      </w:pPr>
    </w:p>
    <w:p w:rsidR="003418DB" w:rsidRPr="003418DB" w:rsidRDefault="003418DB" w:rsidP="00D72A58">
      <w:pPr>
        <w:jc w:val="both"/>
        <w:rPr>
          <w:rFonts w:asciiTheme="minorHAnsi" w:hAnsiTheme="minorHAnsi" w:cstheme="minorHAnsi"/>
          <w:sz w:val="20"/>
          <w:szCs w:val="20"/>
        </w:rPr>
      </w:pPr>
      <w:r w:rsidRPr="003418DB">
        <w:rPr>
          <w:rFonts w:asciiTheme="minorHAnsi" w:hAnsiTheme="minorHAnsi" w:cstheme="minorHAnsi"/>
          <w:i/>
        </w:rPr>
        <w:t xml:space="preserve">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Dollar Industries Limited will not be in any way responsible for any action </w:t>
      </w:r>
      <w:r w:rsidRPr="003418DB">
        <w:rPr>
          <w:rFonts w:asciiTheme="minorHAnsi" w:hAnsiTheme="minorHAnsi" w:cstheme="minorHAnsi"/>
          <w:i/>
        </w:rPr>
        <w:lastRenderedPageBreak/>
        <w:t>taken based on such statements and discussions; and undertakes no obligation to publicly update these forward-looking statements to reflect subsequent events or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7"/>
        <w:gridCol w:w="4989"/>
      </w:tblGrid>
      <w:tr w:rsidR="003418DB" w:rsidRPr="003418DB" w:rsidTr="00373969">
        <w:trPr>
          <w:trHeight w:val="531"/>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tabs>
                <w:tab w:val="left" w:pos="7815"/>
              </w:tabs>
              <w:rPr>
                <w:rFonts w:asciiTheme="minorHAnsi" w:hAnsiTheme="minorHAnsi" w:cstheme="minorHAnsi"/>
              </w:rPr>
            </w:pPr>
          </w:p>
        </w:tc>
      </w:tr>
      <w:tr w:rsidR="003418DB" w:rsidRPr="003418DB" w:rsidTr="00373969">
        <w:trPr>
          <w:trHeight w:val="265"/>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autoSpaceDE w:val="0"/>
              <w:autoSpaceDN w:val="0"/>
              <w:adjustRightInd w:val="0"/>
              <w:rPr>
                <w:rFonts w:asciiTheme="minorHAnsi" w:hAnsiTheme="minorHAnsi" w:cstheme="minorHAnsi"/>
                <w:b/>
                <w:bCs/>
                <w:color w:val="000000"/>
              </w:rPr>
            </w:pPr>
          </w:p>
        </w:tc>
      </w:tr>
      <w:tr w:rsidR="003418DB" w:rsidRPr="003418DB" w:rsidTr="00373969">
        <w:trPr>
          <w:trHeight w:val="265"/>
        </w:trPr>
        <w:tc>
          <w:tcPr>
            <w:tcW w:w="4207" w:type="dxa"/>
          </w:tcPr>
          <w:p w:rsidR="003418DB" w:rsidRPr="003418DB" w:rsidRDefault="003418DB" w:rsidP="00373969">
            <w:pPr>
              <w:jc w:val="both"/>
              <w:rPr>
                <w:rFonts w:asciiTheme="minorHAnsi" w:hAnsiTheme="minorHAnsi" w:cstheme="minorHAnsi"/>
                <w:i/>
              </w:rPr>
            </w:pPr>
          </w:p>
        </w:tc>
        <w:tc>
          <w:tcPr>
            <w:tcW w:w="4989" w:type="dxa"/>
          </w:tcPr>
          <w:p w:rsidR="003418DB" w:rsidRPr="003418DB" w:rsidRDefault="003418DB" w:rsidP="00373969">
            <w:pPr>
              <w:tabs>
                <w:tab w:val="left" w:pos="7815"/>
              </w:tabs>
              <w:rPr>
                <w:rFonts w:asciiTheme="minorHAnsi" w:hAnsiTheme="minorHAnsi" w:cstheme="minorHAnsi"/>
              </w:rPr>
            </w:pPr>
          </w:p>
        </w:tc>
      </w:tr>
      <w:tr w:rsidR="003418DB" w:rsidRPr="003418DB" w:rsidTr="00373969">
        <w:trPr>
          <w:trHeight w:val="265"/>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pStyle w:val="Default"/>
              <w:rPr>
                <w:rFonts w:asciiTheme="minorHAnsi" w:hAnsiTheme="minorHAnsi" w:cstheme="minorHAnsi"/>
                <w:sz w:val="22"/>
                <w:szCs w:val="22"/>
              </w:rPr>
            </w:pPr>
          </w:p>
        </w:tc>
      </w:tr>
      <w:tr w:rsidR="003418DB" w:rsidRPr="003418DB" w:rsidTr="00373969">
        <w:trPr>
          <w:trHeight w:val="1580"/>
        </w:trPr>
        <w:tc>
          <w:tcPr>
            <w:tcW w:w="4207" w:type="dxa"/>
          </w:tcPr>
          <w:p w:rsidR="003418DB" w:rsidRPr="003418DB" w:rsidRDefault="003418DB" w:rsidP="00373969">
            <w:pPr>
              <w:tabs>
                <w:tab w:val="left" w:pos="7815"/>
              </w:tabs>
              <w:rPr>
                <w:rFonts w:asciiTheme="minorHAnsi" w:hAnsiTheme="minorHAnsi" w:cstheme="minorHAnsi"/>
              </w:rPr>
            </w:pPr>
          </w:p>
        </w:tc>
        <w:tc>
          <w:tcPr>
            <w:tcW w:w="4989" w:type="dxa"/>
          </w:tcPr>
          <w:p w:rsidR="003418DB" w:rsidRPr="003418DB" w:rsidRDefault="003418DB" w:rsidP="00373969">
            <w:pPr>
              <w:rPr>
                <w:rFonts w:asciiTheme="minorHAnsi" w:hAnsiTheme="minorHAnsi" w:cstheme="minorHAnsi"/>
              </w:rPr>
            </w:pPr>
          </w:p>
        </w:tc>
      </w:tr>
    </w:tbl>
    <w:p w:rsidR="003418DB" w:rsidRPr="003418DB" w:rsidRDefault="003418DB" w:rsidP="008A7890">
      <w:pPr>
        <w:spacing w:line="240" w:lineRule="auto"/>
        <w:jc w:val="both"/>
        <w:rPr>
          <w:rFonts w:asciiTheme="minorHAnsi" w:hAnsiTheme="minorHAnsi" w:cstheme="minorHAnsi"/>
          <w:sz w:val="24"/>
          <w:szCs w:val="24"/>
        </w:rPr>
      </w:pPr>
    </w:p>
    <w:sectPr w:rsidR="003418DB" w:rsidRPr="003418DB" w:rsidSect="00CD1050">
      <w:headerReference w:type="default" r:id="rId10"/>
      <w:pgSz w:w="11906" w:h="16838"/>
      <w:pgMar w:top="1440" w:right="1440"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0C6" w:rsidRDefault="00F610C6" w:rsidP="00D72A58">
      <w:pPr>
        <w:spacing w:after="0" w:line="240" w:lineRule="auto"/>
      </w:pPr>
      <w:r>
        <w:separator/>
      </w:r>
    </w:p>
  </w:endnote>
  <w:endnote w:type="continuationSeparator" w:id="1">
    <w:p w:rsidR="00F610C6" w:rsidRDefault="00F610C6" w:rsidP="00D72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0C6" w:rsidRDefault="00F610C6" w:rsidP="00D72A58">
      <w:pPr>
        <w:spacing w:after="0" w:line="240" w:lineRule="auto"/>
      </w:pPr>
      <w:r>
        <w:separator/>
      </w:r>
    </w:p>
  </w:footnote>
  <w:footnote w:type="continuationSeparator" w:id="1">
    <w:p w:rsidR="00F610C6" w:rsidRDefault="00F610C6" w:rsidP="00D72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58" w:rsidRDefault="00D72A58" w:rsidP="00D72A58">
    <w:pPr>
      <w:pStyle w:val="Header"/>
      <w:jc w:val="center"/>
    </w:pPr>
    <w:r w:rsidRPr="00D3676E">
      <w:rPr>
        <w:rFonts w:ascii="Franklin Gothic Demi" w:hAnsi="Franklin Gothic Demi"/>
        <w:b/>
        <w:i/>
        <w:noProof/>
        <w:sz w:val="20"/>
        <w:szCs w:val="20"/>
      </w:rPr>
      <w:drawing>
        <wp:inline distT="0" distB="0" distL="0" distR="0">
          <wp:extent cx="1828800" cy="723900"/>
          <wp:effectExtent l="0" t="0" r="0" b="0"/>
          <wp:docPr id="3" name="Picture 2" descr="C:\Users\user79\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79\Downloads\Logo png.png"/>
                  <pic:cNvPicPr>
                    <a:picLocks noChangeAspect="1" noChangeArrowheads="1"/>
                  </pic:cNvPicPr>
                </pic:nvPicPr>
                <pic:blipFill>
                  <a:blip r:embed="rId1" cstate="print"/>
                  <a:srcRect/>
                  <a:stretch>
                    <a:fillRect/>
                  </a:stretch>
                </pic:blipFill>
                <pic:spPr bwMode="auto">
                  <a:xfrm>
                    <a:off x="0" y="0"/>
                    <a:ext cx="1828800"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2242B"/>
    <w:multiLevelType w:val="hybridMultilevel"/>
    <w:tmpl w:val="58D6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F37EBE"/>
    <w:multiLevelType w:val="hybridMultilevel"/>
    <w:tmpl w:val="94BA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3D02"/>
    <w:rsid w:val="00014BE8"/>
    <w:rsid w:val="00042EED"/>
    <w:rsid w:val="000503BE"/>
    <w:rsid w:val="0005284E"/>
    <w:rsid w:val="00055F34"/>
    <w:rsid w:val="00057B32"/>
    <w:rsid w:val="00060518"/>
    <w:rsid w:val="000638A3"/>
    <w:rsid w:val="000750A3"/>
    <w:rsid w:val="0008398E"/>
    <w:rsid w:val="00090F8E"/>
    <w:rsid w:val="0009101B"/>
    <w:rsid w:val="000A5BF8"/>
    <w:rsid w:val="000B4D2B"/>
    <w:rsid w:val="000C7F94"/>
    <w:rsid w:val="000E007D"/>
    <w:rsid w:val="000E00D8"/>
    <w:rsid w:val="000E06F9"/>
    <w:rsid w:val="000E5E85"/>
    <w:rsid w:val="000E6B9C"/>
    <w:rsid w:val="00114E36"/>
    <w:rsid w:val="001157E9"/>
    <w:rsid w:val="001512E7"/>
    <w:rsid w:val="00153871"/>
    <w:rsid w:val="00156809"/>
    <w:rsid w:val="00157D73"/>
    <w:rsid w:val="001605ED"/>
    <w:rsid w:val="00197D5A"/>
    <w:rsid w:val="001A1017"/>
    <w:rsid w:val="001B1ED9"/>
    <w:rsid w:val="001D6C7A"/>
    <w:rsid w:val="002005C1"/>
    <w:rsid w:val="0020307B"/>
    <w:rsid w:val="00205828"/>
    <w:rsid w:val="00206028"/>
    <w:rsid w:val="00223402"/>
    <w:rsid w:val="002238F0"/>
    <w:rsid w:val="00233D02"/>
    <w:rsid w:val="00245586"/>
    <w:rsid w:val="00264F3E"/>
    <w:rsid w:val="0029574E"/>
    <w:rsid w:val="002C27E3"/>
    <w:rsid w:val="002C4DA7"/>
    <w:rsid w:val="002E02D9"/>
    <w:rsid w:val="002F542F"/>
    <w:rsid w:val="00312F24"/>
    <w:rsid w:val="00331613"/>
    <w:rsid w:val="0034014D"/>
    <w:rsid w:val="003418DB"/>
    <w:rsid w:val="0035371C"/>
    <w:rsid w:val="003657E3"/>
    <w:rsid w:val="00372B91"/>
    <w:rsid w:val="003745C4"/>
    <w:rsid w:val="003A1A78"/>
    <w:rsid w:val="003C1FA3"/>
    <w:rsid w:val="003D005C"/>
    <w:rsid w:val="003F47B1"/>
    <w:rsid w:val="003F5740"/>
    <w:rsid w:val="0041405F"/>
    <w:rsid w:val="00415267"/>
    <w:rsid w:val="004256EC"/>
    <w:rsid w:val="0043292F"/>
    <w:rsid w:val="004525CE"/>
    <w:rsid w:val="004711BB"/>
    <w:rsid w:val="004931EF"/>
    <w:rsid w:val="004A7706"/>
    <w:rsid w:val="004B0156"/>
    <w:rsid w:val="004B7129"/>
    <w:rsid w:val="004C59A6"/>
    <w:rsid w:val="004D0F84"/>
    <w:rsid w:val="004D2F0B"/>
    <w:rsid w:val="004E53D9"/>
    <w:rsid w:val="004E78F1"/>
    <w:rsid w:val="004F2FC6"/>
    <w:rsid w:val="00504F6B"/>
    <w:rsid w:val="00506AC5"/>
    <w:rsid w:val="0052342B"/>
    <w:rsid w:val="00525A60"/>
    <w:rsid w:val="00533383"/>
    <w:rsid w:val="00537682"/>
    <w:rsid w:val="00582E09"/>
    <w:rsid w:val="00595883"/>
    <w:rsid w:val="00595E0B"/>
    <w:rsid w:val="005A3296"/>
    <w:rsid w:val="005B0B10"/>
    <w:rsid w:val="005B390E"/>
    <w:rsid w:val="005C4F88"/>
    <w:rsid w:val="005D1CD8"/>
    <w:rsid w:val="005E17FF"/>
    <w:rsid w:val="005E1805"/>
    <w:rsid w:val="005E62DE"/>
    <w:rsid w:val="005E6531"/>
    <w:rsid w:val="005F4183"/>
    <w:rsid w:val="005F586F"/>
    <w:rsid w:val="005F6EF1"/>
    <w:rsid w:val="0062153F"/>
    <w:rsid w:val="006233D1"/>
    <w:rsid w:val="006251AE"/>
    <w:rsid w:val="00625ADC"/>
    <w:rsid w:val="00625E46"/>
    <w:rsid w:val="00633847"/>
    <w:rsid w:val="006347EE"/>
    <w:rsid w:val="0064078D"/>
    <w:rsid w:val="00681AFA"/>
    <w:rsid w:val="006845F6"/>
    <w:rsid w:val="006C6EE9"/>
    <w:rsid w:val="006D25F8"/>
    <w:rsid w:val="006D4B9C"/>
    <w:rsid w:val="006D5E4D"/>
    <w:rsid w:val="006E6C51"/>
    <w:rsid w:val="006F3162"/>
    <w:rsid w:val="00742CB7"/>
    <w:rsid w:val="00743781"/>
    <w:rsid w:val="00746D58"/>
    <w:rsid w:val="00751BD7"/>
    <w:rsid w:val="00773C20"/>
    <w:rsid w:val="007810BC"/>
    <w:rsid w:val="00786DB1"/>
    <w:rsid w:val="00797D4D"/>
    <w:rsid w:val="007B3F3F"/>
    <w:rsid w:val="007B73C6"/>
    <w:rsid w:val="007D1417"/>
    <w:rsid w:val="007E06B4"/>
    <w:rsid w:val="007E2675"/>
    <w:rsid w:val="00813DB0"/>
    <w:rsid w:val="00822AEE"/>
    <w:rsid w:val="00823529"/>
    <w:rsid w:val="00842EF9"/>
    <w:rsid w:val="00864987"/>
    <w:rsid w:val="008A7890"/>
    <w:rsid w:val="008B1733"/>
    <w:rsid w:val="008D0AEB"/>
    <w:rsid w:val="008D4039"/>
    <w:rsid w:val="008D4EC7"/>
    <w:rsid w:val="008E50B3"/>
    <w:rsid w:val="008F5E70"/>
    <w:rsid w:val="0095536A"/>
    <w:rsid w:val="009707DD"/>
    <w:rsid w:val="00985BC6"/>
    <w:rsid w:val="00995440"/>
    <w:rsid w:val="009D6319"/>
    <w:rsid w:val="009D7F36"/>
    <w:rsid w:val="009F0A50"/>
    <w:rsid w:val="009F4C8D"/>
    <w:rsid w:val="00A04838"/>
    <w:rsid w:val="00A36A2C"/>
    <w:rsid w:val="00A36E35"/>
    <w:rsid w:val="00A51DDB"/>
    <w:rsid w:val="00A51EC1"/>
    <w:rsid w:val="00A661A4"/>
    <w:rsid w:val="00A662C9"/>
    <w:rsid w:val="00A6734F"/>
    <w:rsid w:val="00A711CD"/>
    <w:rsid w:val="00A733AB"/>
    <w:rsid w:val="00A81317"/>
    <w:rsid w:val="00A929B3"/>
    <w:rsid w:val="00A94062"/>
    <w:rsid w:val="00AA7F44"/>
    <w:rsid w:val="00AB4F43"/>
    <w:rsid w:val="00AC221C"/>
    <w:rsid w:val="00AE1E32"/>
    <w:rsid w:val="00AE436A"/>
    <w:rsid w:val="00AF3F0C"/>
    <w:rsid w:val="00B2391D"/>
    <w:rsid w:val="00B66D1B"/>
    <w:rsid w:val="00B70F2A"/>
    <w:rsid w:val="00B76B3D"/>
    <w:rsid w:val="00BA0030"/>
    <w:rsid w:val="00BA7F78"/>
    <w:rsid w:val="00BE3DC4"/>
    <w:rsid w:val="00C27ADD"/>
    <w:rsid w:val="00C43BB6"/>
    <w:rsid w:val="00C45B1F"/>
    <w:rsid w:val="00C6037E"/>
    <w:rsid w:val="00C838AF"/>
    <w:rsid w:val="00C843C8"/>
    <w:rsid w:val="00C87796"/>
    <w:rsid w:val="00CA3AA7"/>
    <w:rsid w:val="00CB6621"/>
    <w:rsid w:val="00CD1050"/>
    <w:rsid w:val="00CD182C"/>
    <w:rsid w:val="00CD43DC"/>
    <w:rsid w:val="00CF747E"/>
    <w:rsid w:val="00D24897"/>
    <w:rsid w:val="00D25B42"/>
    <w:rsid w:val="00D601C6"/>
    <w:rsid w:val="00D72A58"/>
    <w:rsid w:val="00D85C9E"/>
    <w:rsid w:val="00D85EB5"/>
    <w:rsid w:val="00D908D3"/>
    <w:rsid w:val="00D96235"/>
    <w:rsid w:val="00DF6FCF"/>
    <w:rsid w:val="00E05F25"/>
    <w:rsid w:val="00E07E0D"/>
    <w:rsid w:val="00E11EFB"/>
    <w:rsid w:val="00E23191"/>
    <w:rsid w:val="00E2552B"/>
    <w:rsid w:val="00E37D48"/>
    <w:rsid w:val="00E605B8"/>
    <w:rsid w:val="00E60EF8"/>
    <w:rsid w:val="00EB3008"/>
    <w:rsid w:val="00EB4CB2"/>
    <w:rsid w:val="00EC6C2A"/>
    <w:rsid w:val="00EE5169"/>
    <w:rsid w:val="00EF1348"/>
    <w:rsid w:val="00F25048"/>
    <w:rsid w:val="00F424D7"/>
    <w:rsid w:val="00F573DC"/>
    <w:rsid w:val="00F610C6"/>
    <w:rsid w:val="00F82049"/>
    <w:rsid w:val="00F84D2E"/>
    <w:rsid w:val="00F87ED9"/>
    <w:rsid w:val="00FA106D"/>
    <w:rsid w:val="00FB5D62"/>
    <w:rsid w:val="00FB7E1D"/>
    <w:rsid w:val="00FF2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2"/>
    <w:pPr>
      <w:ind w:left="720"/>
      <w:contextualSpacing/>
    </w:pPr>
  </w:style>
  <w:style w:type="paragraph" w:styleId="NoSpacing">
    <w:name w:val="No Spacing"/>
    <w:uiPriority w:val="1"/>
    <w:qFormat/>
    <w:rsid w:val="00233D02"/>
    <w:pPr>
      <w:spacing w:after="0" w:line="240" w:lineRule="auto"/>
    </w:pPr>
    <w:rPr>
      <w:rFonts w:ascii="Calibri" w:eastAsia="Calibri" w:hAnsi="Calibri" w:cs="Times New Roman"/>
      <w:lang w:val="en-US"/>
    </w:rPr>
  </w:style>
  <w:style w:type="paragraph" w:customStyle="1" w:styleId="m-2006886918061597550gmail-msonospacing">
    <w:name w:val="m_-2006886918061597550gmail-msonospacing"/>
    <w:basedOn w:val="Normal"/>
    <w:rsid w:val="00233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95440"/>
    <w:rPr>
      <w:color w:val="0000FF" w:themeColor="hyperlink"/>
      <w:u w:val="single"/>
    </w:rPr>
  </w:style>
  <w:style w:type="paragraph" w:styleId="NormalWeb">
    <w:name w:val="Normal (Web)"/>
    <w:basedOn w:val="Normal"/>
    <w:uiPriority w:val="99"/>
    <w:semiHidden/>
    <w:unhideWhenUsed/>
    <w:rsid w:val="007E06B4"/>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733AB"/>
    <w:rPr>
      <w:b/>
      <w:bCs/>
    </w:rPr>
  </w:style>
  <w:style w:type="paragraph" w:customStyle="1" w:styleId="Default">
    <w:name w:val="Default"/>
    <w:rsid w:val="00C6037E"/>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39"/>
    <w:rsid w:val="00C603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51"/>
    <w:rPr>
      <w:rFonts w:ascii="Segoe UI" w:eastAsia="Calibri" w:hAnsi="Segoe UI" w:cs="Segoe UI"/>
      <w:sz w:val="18"/>
      <w:szCs w:val="18"/>
      <w:lang w:val="en-US"/>
    </w:rPr>
  </w:style>
  <w:style w:type="paragraph" w:customStyle="1" w:styleId="Normal1">
    <w:name w:val="Normal1"/>
    <w:rsid w:val="003418DB"/>
    <w:pPr>
      <w:spacing w:after="160" w:line="259" w:lineRule="auto"/>
    </w:pPr>
    <w:rPr>
      <w:rFonts w:ascii="Calibri" w:eastAsia="Calibri" w:hAnsi="Calibri" w:cs="Calibri"/>
      <w:lang w:eastAsia="en-IN"/>
    </w:rPr>
  </w:style>
  <w:style w:type="paragraph" w:styleId="Header">
    <w:name w:val="header"/>
    <w:basedOn w:val="Normal"/>
    <w:link w:val="HeaderChar"/>
    <w:uiPriority w:val="99"/>
    <w:unhideWhenUsed/>
    <w:rsid w:val="00D72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A58"/>
    <w:rPr>
      <w:rFonts w:ascii="Calibri" w:eastAsia="Calibri" w:hAnsi="Calibri" w:cs="Times New Roman"/>
      <w:lang w:val="en-US"/>
    </w:rPr>
  </w:style>
  <w:style w:type="paragraph" w:styleId="Footer">
    <w:name w:val="footer"/>
    <w:basedOn w:val="Normal"/>
    <w:link w:val="FooterChar"/>
    <w:uiPriority w:val="99"/>
    <w:unhideWhenUsed/>
    <w:rsid w:val="00D72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A58"/>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47140421">
      <w:bodyDiv w:val="1"/>
      <w:marLeft w:val="0"/>
      <w:marRight w:val="0"/>
      <w:marTop w:val="0"/>
      <w:marBottom w:val="0"/>
      <w:divBdr>
        <w:top w:val="none" w:sz="0" w:space="0" w:color="auto"/>
        <w:left w:val="none" w:sz="0" w:space="0" w:color="auto"/>
        <w:bottom w:val="none" w:sz="0" w:space="0" w:color="auto"/>
        <w:right w:val="none" w:sz="0" w:space="0" w:color="auto"/>
      </w:divBdr>
    </w:div>
    <w:div w:id="397749631">
      <w:bodyDiv w:val="1"/>
      <w:marLeft w:val="0"/>
      <w:marRight w:val="0"/>
      <w:marTop w:val="0"/>
      <w:marBottom w:val="0"/>
      <w:divBdr>
        <w:top w:val="none" w:sz="0" w:space="0" w:color="auto"/>
        <w:left w:val="none" w:sz="0" w:space="0" w:color="auto"/>
        <w:bottom w:val="none" w:sz="0" w:space="0" w:color="auto"/>
        <w:right w:val="none" w:sz="0" w:space="0" w:color="auto"/>
      </w:divBdr>
    </w:div>
    <w:div w:id="520750809">
      <w:bodyDiv w:val="1"/>
      <w:marLeft w:val="0"/>
      <w:marRight w:val="0"/>
      <w:marTop w:val="0"/>
      <w:marBottom w:val="0"/>
      <w:divBdr>
        <w:top w:val="none" w:sz="0" w:space="0" w:color="auto"/>
        <w:left w:val="none" w:sz="0" w:space="0" w:color="auto"/>
        <w:bottom w:val="none" w:sz="0" w:space="0" w:color="auto"/>
        <w:right w:val="none" w:sz="0" w:space="0" w:color="auto"/>
      </w:divBdr>
    </w:div>
    <w:div w:id="640233912">
      <w:bodyDiv w:val="1"/>
      <w:marLeft w:val="0"/>
      <w:marRight w:val="0"/>
      <w:marTop w:val="0"/>
      <w:marBottom w:val="0"/>
      <w:divBdr>
        <w:top w:val="none" w:sz="0" w:space="0" w:color="auto"/>
        <w:left w:val="none" w:sz="0" w:space="0" w:color="auto"/>
        <w:bottom w:val="none" w:sz="0" w:space="0" w:color="auto"/>
        <w:right w:val="none" w:sz="0" w:space="0" w:color="auto"/>
      </w:divBdr>
    </w:div>
    <w:div w:id="1136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global.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F658-3D20-44F6-A942-1838B622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dc:creator>
  <cp:lastModifiedBy>user79</cp:lastModifiedBy>
  <cp:revision>10</cp:revision>
  <cp:lastPrinted>2020-08-17T08:39:00Z</cp:lastPrinted>
  <dcterms:created xsi:type="dcterms:W3CDTF">2020-08-17T10:41:00Z</dcterms:created>
  <dcterms:modified xsi:type="dcterms:W3CDTF">2021-02-03T12:46:00Z</dcterms:modified>
</cp:coreProperties>
</file>